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360" w:lineRule="auto"/>
        <w:ind w:left="0" w:leftChars="0" w:right="600"/>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附件：</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outlineLvl w:val="9"/>
        <w:rPr>
          <w:rFonts w:ascii="华文中宋" w:hAnsi="华文中宋" w:eastAsia="华文中宋"/>
          <w:sz w:val="44"/>
          <w:szCs w:val="44"/>
        </w:rPr>
      </w:pPr>
      <w:r>
        <w:rPr>
          <w:rFonts w:hint="eastAsia" w:ascii="华文中宋" w:hAnsi="华文中宋" w:eastAsia="华文中宋"/>
          <w:sz w:val="44"/>
          <w:szCs w:val="44"/>
        </w:rPr>
        <w:t>“中国化妆品产业之都”评价标准</w:t>
      </w:r>
    </w:p>
    <w:p>
      <w:pPr>
        <w:keepNext w:val="0"/>
        <w:keepLines w:val="0"/>
        <w:pageBreakBefore w:val="0"/>
        <w:widowControl w:val="0"/>
        <w:kinsoku/>
        <w:wordWrap/>
        <w:overflowPunct/>
        <w:topLinePunct w:val="0"/>
        <w:bidi w:val="0"/>
        <w:adjustRightInd w:val="0"/>
        <w:snapToGrid w:val="0"/>
        <w:spacing w:line="360" w:lineRule="auto"/>
        <w:ind w:left="0" w:leftChars="0" w:right="600"/>
        <w:textAlignment w:val="auto"/>
        <w:outlineLvl w:val="9"/>
        <w:rPr>
          <w:rFonts w:ascii="Times New Roman" w:hAnsi="Times New Roman" w:eastAsia="华文仿宋" w:cs="Times New Roman"/>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中国香料香精化妆品工业协会按照《轻工行业特色区域和产业集群评价指标体系》要求，结合化妆品行业实际情况，起草“中国化妆品产业之都”授名共建评价标准。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化妆品产业之都是指</w:t>
      </w:r>
      <w:r>
        <w:rPr>
          <w:rFonts w:hint="eastAsia" w:ascii="Times New Roman" w:hAnsi="华文仿宋" w:eastAsia="华文仿宋" w:cs="Times New Roman"/>
          <w:color w:val="000000"/>
          <w:sz w:val="30"/>
          <w:szCs w:val="30"/>
        </w:rPr>
        <w:t>在该区域化妆品产业优势、区域特色突出，</w:t>
      </w:r>
      <w:r>
        <w:rPr>
          <w:rFonts w:hint="eastAsia" w:ascii="Times New Roman" w:hAnsi="Times New Roman" w:eastAsia="华文仿宋" w:cs="Times New Roman"/>
          <w:sz w:val="30"/>
          <w:szCs w:val="30"/>
        </w:rPr>
        <w:t>化妆品产品比较综合，化妆品产品</w:t>
      </w:r>
      <w:r>
        <w:rPr>
          <w:rFonts w:hint="eastAsia" w:ascii="Times New Roman" w:hAnsi="华文仿宋" w:eastAsia="华文仿宋" w:cs="Times New Roman"/>
          <w:color w:val="000000"/>
          <w:sz w:val="30"/>
          <w:szCs w:val="30"/>
        </w:rPr>
        <w:t>销售量、出口居全国同行业前茅，对国内外市场具有重要影响作用，对轻工行业发展贡献特别突出的地区，</w:t>
      </w:r>
      <w:r>
        <w:rPr>
          <w:rFonts w:hint="eastAsia" w:ascii="Times New Roman" w:hAnsi="Times New Roman" w:eastAsia="华文仿宋" w:cs="Times New Roman"/>
          <w:sz w:val="30"/>
          <w:szCs w:val="30"/>
        </w:rPr>
        <w:t>其共建授名格式为“中国化妆品产业之都</w:t>
      </w:r>
      <w:r>
        <w:rPr>
          <w:rFonts w:hint="default" w:ascii="Times New Roman" w:hAnsi="Times New Roman" w:eastAsia="华文仿宋" w:cs="Times New Roman"/>
          <w:sz w:val="30"/>
          <w:szCs w:val="30"/>
        </w:rPr>
        <w:t>·</w:t>
      </w:r>
      <w:r>
        <w:rPr>
          <w:rFonts w:hint="eastAsia" w:ascii="Times New Roman" w:hAnsi="Times New Roman" w:eastAsia="华文仿宋" w:cs="Times New Roman"/>
          <w:sz w:val="30"/>
          <w:szCs w:val="30"/>
        </w:rPr>
        <w:t>地区名称”。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 xml:space="preserve"> “中国化妆品产业之都”共建授名程序和所需提交资料请见中国轻工业联合会《轻工业特色区域和产业集群共建管理办法》相关内容。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本标准分定性指标和定量指标两部分，申请区域需满足各项指标要求。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本标准经中国香料香精化妆品工业协会对相关单位公示通过，并于公布之日</w:t>
      </w:r>
      <w:r>
        <w:rPr>
          <w:rFonts w:hint="eastAsia" w:ascii="Times New Roman" w:hAnsi="Times New Roman" w:eastAsia="华文仿宋" w:cs="Times New Roman"/>
          <w:sz w:val="30"/>
          <w:szCs w:val="30"/>
          <w:lang w:eastAsia="zh-CN"/>
        </w:rPr>
        <w:t>起</w:t>
      </w:r>
      <w:r>
        <w:rPr>
          <w:rFonts w:hint="eastAsia" w:ascii="Times New Roman" w:hAnsi="Times New Roman" w:eastAsia="华文仿宋" w:cs="Times New Roman"/>
          <w:sz w:val="30"/>
          <w:szCs w:val="30"/>
        </w:rPr>
        <w:t>实施。</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一、定性指标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（一）行业影响力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申请区域的化妆品产业已形成较为突出的生产制造规模，在全行业有较大的影响力。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（二）区域经济地位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申请区域的化妆品产业占当地经济比重较为突出。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（三）产业链状况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申请区域已具备完善的化妆品产业配套产业链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（四）国际竞争力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申请区域化妆品产业具有较大的国际市场竞争力，在当地国际贸易中具有较大的比重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（五）龙头企业地位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申请区域化妆品产业拥有多家化妆品知名企业，注重品牌建设，已具有较大的品牌知名度和品牌影响力，在全行业有较高的市场份额。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（六）科技开发状况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申请区域已建立一定数量的国家级或省部级化妆品相关科技开发机构、检验机构，有明确的技术创新保障措施。申请区域化妆品企业有知识产权保护措施。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（七）企业经营情况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华文仿宋" w:eastAsia="华文仿宋" w:cs="Times New Roman"/>
          <w:color w:val="000000"/>
          <w:sz w:val="30"/>
          <w:szCs w:val="30"/>
        </w:rPr>
        <w:t>申请区域内化妆品企业运营状态良好，满足必要的</w:t>
      </w:r>
      <w:r>
        <w:rPr>
          <w:rFonts w:hint="eastAsia" w:ascii="Times New Roman" w:hAnsi="Times New Roman" w:eastAsia="华文仿宋" w:cs="Times New Roman"/>
          <w:sz w:val="30"/>
          <w:szCs w:val="30"/>
        </w:rPr>
        <w:t>行政许可要求，产品合格率高，未发生过重大批量产品质量事故、产品假冒和伪造案件。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（八）安全生产状况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sz w:val="30"/>
          <w:szCs w:val="30"/>
        </w:rPr>
      </w:pPr>
      <w:r>
        <w:rPr>
          <w:rFonts w:hint="eastAsia" w:ascii="Times New Roman" w:hAnsi="Times New Roman" w:eastAsia="华文仿宋" w:cs="Times New Roman"/>
          <w:sz w:val="30"/>
          <w:szCs w:val="30"/>
        </w:rPr>
        <w:t>申请区域内化妆品企业未发生</w:t>
      </w:r>
      <w:r>
        <w:rPr>
          <w:rFonts w:ascii="Times New Roman" w:hAnsi="华文仿宋" w:eastAsia="华文仿宋" w:cs="Times New Roman"/>
          <w:sz w:val="30"/>
          <w:szCs w:val="30"/>
        </w:rPr>
        <w:t>过重大污染事故</w:t>
      </w:r>
      <w:r>
        <w:rPr>
          <w:rFonts w:hint="eastAsia" w:ascii="Times New Roman" w:hAnsi="华文仿宋" w:eastAsia="华文仿宋" w:cs="Times New Roman"/>
          <w:sz w:val="30"/>
          <w:szCs w:val="30"/>
        </w:rPr>
        <w:t>，有必要的环境保护和节能减排措施。未</w:t>
      </w:r>
      <w:r>
        <w:rPr>
          <w:rFonts w:ascii="Times New Roman" w:hAnsi="华文仿宋" w:eastAsia="华文仿宋" w:cs="Times New Roman"/>
          <w:sz w:val="30"/>
          <w:szCs w:val="30"/>
        </w:rPr>
        <w:t>发生过重大安全生产事故</w:t>
      </w:r>
      <w:r>
        <w:rPr>
          <w:rFonts w:hint="eastAsia" w:ascii="Times New Roman" w:hAnsi="华文仿宋" w:eastAsia="华文仿宋" w:cs="Times New Roman"/>
          <w:sz w:val="30"/>
          <w:szCs w:val="30"/>
        </w:rPr>
        <w:t>，有必要的安全生产防护要求和措施。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sz w:val="30"/>
          <w:szCs w:val="30"/>
        </w:rPr>
      </w:pPr>
      <w:r>
        <w:rPr>
          <w:rFonts w:hint="eastAsia" w:ascii="Times New Roman" w:hAnsi="华文仿宋" w:eastAsia="华文仿宋" w:cs="Times New Roman"/>
          <w:sz w:val="30"/>
          <w:szCs w:val="30"/>
        </w:rPr>
        <w:t>（九）产业发展潜力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sz w:val="30"/>
          <w:szCs w:val="30"/>
        </w:rPr>
        <w:t>申请区域具有较好的化妆品自主创新能力和产业发展潜力，在人才培养、创新能力提升、品牌建设等方面有明确保障措施。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（十）政府作用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hint="eastAsia"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申请区域当地政府有切实可行的化妆品行业发展规划、发展政策导向和保障措施，注重公共服务平台建设，注重企业和品牌培育，提高申请区域内产品质量安全和产品竞争力。</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二、定量指标</w:t>
      </w:r>
    </w:p>
    <w:tbl>
      <w:tblPr>
        <w:tblStyle w:val="5"/>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0"/>
        <w:gridCol w:w="2700"/>
        <w:gridCol w:w="1770"/>
        <w:gridCol w:w="1134"/>
        <w:gridCol w:w="141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tblHeader/>
          <w:jc w:val="center"/>
        </w:trPr>
        <w:tc>
          <w:tcPr>
            <w:tcW w:w="3270" w:type="dxa"/>
            <w:gridSpan w:val="2"/>
            <w:vMerge w:val="restart"/>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指标项目</w:t>
            </w:r>
          </w:p>
        </w:tc>
        <w:tc>
          <w:tcPr>
            <w:tcW w:w="1770" w:type="dxa"/>
            <w:vMerge w:val="restart"/>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单位</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达标值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tblHeader/>
          <w:jc w:val="center"/>
        </w:trPr>
        <w:tc>
          <w:tcPr>
            <w:tcW w:w="3270" w:type="dxa"/>
            <w:gridSpan w:val="2"/>
            <w:vMerge w:val="continue"/>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p>
        </w:tc>
        <w:tc>
          <w:tcPr>
            <w:tcW w:w="1770" w:type="dxa"/>
            <w:vMerge w:val="continue"/>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p>
        </w:tc>
        <w:tc>
          <w:tcPr>
            <w:tcW w:w="1134" w:type="dxa"/>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合计</w:t>
            </w:r>
          </w:p>
        </w:tc>
        <w:tc>
          <w:tcPr>
            <w:tcW w:w="1418" w:type="dxa"/>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占当地工</w:t>
            </w:r>
          </w:p>
          <w:p>
            <w:pPr>
              <w:autoSpaceDE w:val="0"/>
              <w:autoSpaceDN w:val="0"/>
              <w:adjustRightInd w:val="0"/>
              <w:snapToGrid w:val="0"/>
              <w:ind w:firstLine="150" w:firstLineChars="5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业比重</w:t>
            </w:r>
          </w:p>
        </w:tc>
        <w:tc>
          <w:tcPr>
            <w:tcW w:w="1438" w:type="dxa"/>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占全国同行业比重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华文仿宋" w:eastAsia="华文仿宋" w:cs="Times New Roman"/>
                <w:color w:val="000000"/>
                <w:sz w:val="30"/>
                <w:szCs w:val="30"/>
              </w:rPr>
              <w:t>化妆品生产企业</w:t>
            </w:r>
          </w:p>
        </w:tc>
        <w:tc>
          <w:tcPr>
            <w:tcW w:w="177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个</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华文仿宋" w:hAnsi="华文仿宋" w:eastAsia="华文仿宋" w:cs="Times New Roman"/>
                <w:color w:val="000000"/>
                <w:sz w:val="30"/>
                <w:szCs w:val="30"/>
              </w:rPr>
              <w:t>&gt;</w:t>
            </w:r>
            <w:r>
              <w:rPr>
                <w:rFonts w:hint="eastAsia" w:ascii="Times New Roman" w:hAnsi="Times New Roman" w:eastAsia="华文仿宋" w:cs="Times New Roman"/>
                <w:color w:val="000000"/>
                <w:sz w:val="30"/>
                <w:szCs w:val="30"/>
              </w:rPr>
              <w:t>50</w:t>
            </w:r>
          </w:p>
        </w:tc>
        <w:tc>
          <w:tcPr>
            <w:tcW w:w="141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销售收入超亿元企业</w:t>
            </w:r>
          </w:p>
        </w:tc>
        <w:tc>
          <w:tcPr>
            <w:tcW w:w="1770" w:type="dxa"/>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个</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≥10</w:t>
            </w:r>
          </w:p>
        </w:tc>
        <w:tc>
          <w:tcPr>
            <w:tcW w:w="1418" w:type="dxa"/>
            <w:vAlign w:val="center"/>
          </w:tcPr>
          <w:p>
            <w:pPr>
              <w:autoSpaceDE w:val="0"/>
              <w:autoSpaceDN w:val="0"/>
              <w:adjustRightInd w:val="0"/>
              <w:snapToGrid w:val="0"/>
              <w:jc w:val="center"/>
              <w:rPr>
                <w:rFonts w:hint="eastAsia" w:ascii="Times New Roman" w:hAnsi="Times New Roman" w:eastAsia="华文仿宋" w:cs="Times New Roman"/>
                <w:color w:val="000000"/>
                <w:sz w:val="30"/>
                <w:szCs w:val="30"/>
              </w:rPr>
            </w:pP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产品销售收入</w:t>
            </w:r>
          </w:p>
        </w:tc>
        <w:tc>
          <w:tcPr>
            <w:tcW w:w="177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万元</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41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w:t>
            </w:r>
            <w:r>
              <w:rPr>
                <w:rFonts w:hint="eastAsia" w:ascii="华文仿宋" w:hAnsi="华文仿宋" w:eastAsia="华文仿宋" w:cs="Times New Roman"/>
                <w:color w:val="000000"/>
                <w:sz w:val="30"/>
                <w:szCs w:val="30"/>
              </w:rPr>
              <w:t>&gt;</w:t>
            </w:r>
            <w:r>
              <w:rPr>
                <w:rFonts w:hint="eastAsia" w:ascii="Times New Roman" w:hAnsi="Times New Roman" w:eastAsia="华文仿宋" w:cs="Times New Roman"/>
                <w:color w:val="000000"/>
                <w:sz w:val="30"/>
                <w:szCs w:val="30"/>
                <w:lang w:val="en-US" w:eastAsia="zh-CN"/>
              </w:rPr>
              <w:t>6</w:t>
            </w:r>
            <w:r>
              <w:rPr>
                <w:rFonts w:hint="eastAsia" w:ascii="Times New Roman" w:hAnsi="Times New Roman" w:eastAsia="华文仿宋" w:cs="Times New Roman"/>
                <w:color w:val="000000"/>
                <w:sz w:val="30"/>
                <w:szCs w:val="30"/>
              </w:rPr>
              <w:t>%</w:t>
            </w: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利税总额</w:t>
            </w:r>
          </w:p>
        </w:tc>
        <w:tc>
          <w:tcPr>
            <w:tcW w:w="177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万元</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41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≥8%</w:t>
            </w: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出口创汇</w:t>
            </w:r>
          </w:p>
        </w:tc>
        <w:tc>
          <w:tcPr>
            <w:tcW w:w="177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万美元</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41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w:t>
            </w:r>
            <w:r>
              <w:rPr>
                <w:rFonts w:hint="eastAsia" w:ascii="Times New Roman" w:hAnsi="Times New Roman" w:eastAsia="华文仿宋" w:cs="Times New Roman"/>
                <w:color w:val="000000"/>
                <w:sz w:val="30"/>
                <w:szCs w:val="30"/>
                <w:lang w:val="en-US" w:eastAsia="zh-CN"/>
              </w:rPr>
              <w:t>2</w:t>
            </w:r>
            <w:r>
              <w:rPr>
                <w:rFonts w:hint="eastAsia" w:ascii="Times New Roman" w:hAnsi="Times New Roman" w:eastAsia="华文仿宋" w:cs="Times New Roman"/>
                <w:color w:val="000000"/>
                <w:sz w:val="30"/>
                <w:szCs w:val="30"/>
              </w:rPr>
              <w:t>%</w:t>
            </w: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从业人数</w:t>
            </w:r>
          </w:p>
        </w:tc>
        <w:tc>
          <w:tcPr>
            <w:tcW w:w="1770" w:type="dxa"/>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千人</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或≥10</w:t>
            </w:r>
          </w:p>
        </w:tc>
        <w:tc>
          <w:tcPr>
            <w:tcW w:w="1418" w:type="dxa"/>
            <w:vAlign w:val="center"/>
          </w:tcPr>
          <w:p>
            <w:pPr>
              <w:autoSpaceDE w:val="0"/>
              <w:autoSpaceDN w:val="0"/>
              <w:adjustRightInd w:val="0"/>
              <w:snapToGrid w:val="0"/>
              <w:jc w:val="center"/>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w:t>
            </w:r>
            <w:r>
              <w:rPr>
                <w:rFonts w:hint="eastAsia" w:ascii="Times New Roman" w:hAnsi="Times New Roman" w:eastAsia="华文仿宋" w:cs="Times New Roman"/>
                <w:color w:val="000000"/>
                <w:sz w:val="30"/>
                <w:szCs w:val="30"/>
                <w:lang w:val="en-US" w:eastAsia="zh-CN"/>
              </w:rPr>
              <w:t>4</w:t>
            </w:r>
            <w:r>
              <w:rPr>
                <w:rFonts w:hint="eastAsia" w:ascii="Times New Roman" w:hAnsi="Times New Roman" w:eastAsia="华文仿宋" w:cs="Times New Roman"/>
                <w:color w:val="000000"/>
                <w:sz w:val="30"/>
                <w:szCs w:val="30"/>
              </w:rPr>
              <w:t>%</w:t>
            </w:r>
          </w:p>
        </w:tc>
        <w:tc>
          <w:tcPr>
            <w:tcW w:w="1438" w:type="dxa"/>
            <w:vAlign w:val="center"/>
          </w:tcPr>
          <w:p>
            <w:pPr>
              <w:autoSpaceDE w:val="0"/>
              <w:autoSpaceDN w:val="0"/>
              <w:adjustRightInd w:val="0"/>
              <w:snapToGrid w:val="0"/>
              <w:jc w:val="center"/>
              <w:rPr>
                <w:rFonts w:hint="eastAsia"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5040" w:type="dxa"/>
            <w:gridSpan w:val="3"/>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年销售额</w:t>
            </w:r>
            <w:r>
              <w:rPr>
                <w:rFonts w:hint="eastAsia" w:ascii="Times New Roman" w:hAnsi="华文仿宋" w:eastAsia="华文仿宋" w:cs="Times New Roman"/>
                <w:color w:val="000000"/>
                <w:sz w:val="30"/>
                <w:szCs w:val="30"/>
              </w:rPr>
              <w:t>2000万以上企业比例</w:t>
            </w:r>
          </w:p>
        </w:tc>
        <w:tc>
          <w:tcPr>
            <w:tcW w:w="3990" w:type="dxa"/>
            <w:gridSpan w:val="3"/>
            <w:vAlign w:val="center"/>
          </w:tcPr>
          <w:p>
            <w:pPr>
              <w:autoSpaceDE w:val="0"/>
              <w:autoSpaceDN w:val="0"/>
              <w:adjustRightInd w:val="0"/>
              <w:snapToGrid w:val="0"/>
              <w:jc w:val="center"/>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restart"/>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产</w:t>
            </w:r>
          </w:p>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品</w:t>
            </w:r>
          </w:p>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质</w:t>
            </w:r>
          </w:p>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量</w:t>
            </w: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已获得化妆品生产企业行政许可企业比例</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sz w:val="30"/>
                <w:szCs w:val="30"/>
              </w:rPr>
              <w:t>100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通过</w:t>
            </w:r>
            <w:r>
              <w:rPr>
                <w:rFonts w:ascii="Times New Roman" w:hAnsi="Times New Roman" w:eastAsia="华文仿宋" w:cs="Times New Roman"/>
                <w:sz w:val="30"/>
                <w:szCs w:val="30"/>
              </w:rPr>
              <w:t>ISO9000</w:t>
            </w:r>
            <w:r>
              <w:rPr>
                <w:rFonts w:ascii="Times New Roman" w:hAnsi="华文仿宋" w:eastAsia="华文仿宋" w:cs="Times New Roman"/>
                <w:sz w:val="30"/>
                <w:szCs w:val="30"/>
              </w:rPr>
              <w:t>认证企业比例</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华文仿宋" w:hAnsi="华文仿宋" w:eastAsia="华文仿宋" w:cs="Times New Roman"/>
                <w:color w:val="000000"/>
                <w:sz w:val="30"/>
                <w:szCs w:val="30"/>
              </w:rPr>
              <w:t>&gt;</w:t>
            </w:r>
            <w:r>
              <w:rPr>
                <w:rFonts w:hint="eastAsia" w:ascii="Times New Roman" w:hAnsi="Times New Roman" w:eastAsia="华文仿宋" w:cs="Times New Roman"/>
                <w:color w:val="000000"/>
                <w:sz w:val="30"/>
                <w:szCs w:val="30"/>
              </w:rPr>
              <w:t>6</w:t>
            </w:r>
            <w:r>
              <w:rPr>
                <w:rFonts w:hint="eastAsia" w:ascii="Times New Roman" w:hAnsi="Times New Roman" w:eastAsia="华文仿宋" w:cs="Times New Roman"/>
                <w:color w:val="000000"/>
                <w:kern w:val="0"/>
                <w:sz w:val="30"/>
                <w:szCs w:val="30"/>
              </w:rPr>
              <w:t>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通过</w:t>
            </w:r>
            <w:r>
              <w:rPr>
                <w:rFonts w:ascii="Times New Roman" w:hAnsi="Times New Roman" w:eastAsia="华文仿宋" w:cs="Times New Roman"/>
                <w:sz w:val="30"/>
                <w:szCs w:val="30"/>
              </w:rPr>
              <w:t>ISO14000</w:t>
            </w:r>
            <w:r>
              <w:rPr>
                <w:rFonts w:ascii="Times New Roman" w:hAnsi="华文仿宋" w:eastAsia="华文仿宋" w:cs="Times New Roman"/>
                <w:sz w:val="30"/>
                <w:szCs w:val="30"/>
              </w:rPr>
              <w:t>认证企业比例</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sz w:val="30"/>
                <w:szCs w:val="30"/>
              </w:rPr>
              <w:t>≥6</w:t>
            </w:r>
            <w:r>
              <w:rPr>
                <w:rFonts w:hint="eastAsia" w:ascii="Times New Roman" w:hAnsi="Times New Roman" w:eastAsia="华文仿宋" w:cs="Times New Roman"/>
                <w:color w:val="000000"/>
                <w:kern w:val="0"/>
                <w:sz w:val="30"/>
                <w:szCs w:val="30"/>
              </w:rPr>
              <w:t>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0"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出厂合格率</w:t>
            </w:r>
          </w:p>
        </w:tc>
        <w:tc>
          <w:tcPr>
            <w:tcW w:w="3990" w:type="dxa"/>
            <w:gridSpan w:val="3"/>
            <w:shd w:val="clear" w:color="auto" w:fill="auto"/>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kern w:val="0"/>
                <w:sz w:val="30"/>
                <w:szCs w:val="30"/>
              </w:rPr>
              <w:t>100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0"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抽检合格率</w:t>
            </w:r>
          </w:p>
        </w:tc>
        <w:tc>
          <w:tcPr>
            <w:tcW w:w="3990" w:type="dxa"/>
            <w:gridSpan w:val="3"/>
            <w:shd w:val="clear" w:color="auto" w:fill="auto"/>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sz w:val="30"/>
                <w:szCs w:val="30"/>
              </w:rPr>
              <w:t>≥</w:t>
            </w:r>
            <w:r>
              <w:rPr>
                <w:rFonts w:hint="eastAsia" w:ascii="Times New Roman" w:hAnsi="Times New Roman" w:eastAsia="华文仿宋" w:cs="Times New Roman"/>
                <w:color w:val="000000"/>
                <w:kern w:val="0"/>
                <w:sz w:val="30"/>
                <w:szCs w:val="30"/>
              </w:rPr>
              <w:t>99</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是否曾发生过重大批量产品质量事故、产品假冒、伪造案件</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是否发生过重大污染事故</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是否曾发生过重大安全生产事故</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EC"/>
    <w:rsid w:val="00026904"/>
    <w:rsid w:val="00053052"/>
    <w:rsid w:val="001164F6"/>
    <w:rsid w:val="00163B49"/>
    <w:rsid w:val="002953EB"/>
    <w:rsid w:val="003639D5"/>
    <w:rsid w:val="00366EDF"/>
    <w:rsid w:val="00597EEC"/>
    <w:rsid w:val="005A7A15"/>
    <w:rsid w:val="005F4D72"/>
    <w:rsid w:val="00601578"/>
    <w:rsid w:val="006511BE"/>
    <w:rsid w:val="0079202C"/>
    <w:rsid w:val="008775EE"/>
    <w:rsid w:val="008A171A"/>
    <w:rsid w:val="00A35744"/>
    <w:rsid w:val="00AD585A"/>
    <w:rsid w:val="00D45D8E"/>
    <w:rsid w:val="00DE231E"/>
    <w:rsid w:val="00EA0628"/>
    <w:rsid w:val="00F34835"/>
    <w:rsid w:val="00FE3334"/>
    <w:rsid w:val="00FE389F"/>
    <w:rsid w:val="01583050"/>
    <w:rsid w:val="02552D29"/>
    <w:rsid w:val="026F3630"/>
    <w:rsid w:val="0279296E"/>
    <w:rsid w:val="02D7492B"/>
    <w:rsid w:val="0303236E"/>
    <w:rsid w:val="03186444"/>
    <w:rsid w:val="035C19E4"/>
    <w:rsid w:val="04606539"/>
    <w:rsid w:val="0461269D"/>
    <w:rsid w:val="04A71931"/>
    <w:rsid w:val="04CD1844"/>
    <w:rsid w:val="054175C9"/>
    <w:rsid w:val="06054F7F"/>
    <w:rsid w:val="07B25528"/>
    <w:rsid w:val="07DF4F40"/>
    <w:rsid w:val="083874FD"/>
    <w:rsid w:val="085204A5"/>
    <w:rsid w:val="088E0FBF"/>
    <w:rsid w:val="089C0C25"/>
    <w:rsid w:val="08D9525E"/>
    <w:rsid w:val="08FA0590"/>
    <w:rsid w:val="0909719A"/>
    <w:rsid w:val="09775A1C"/>
    <w:rsid w:val="0A0F3746"/>
    <w:rsid w:val="0AC27979"/>
    <w:rsid w:val="0AFD5BC1"/>
    <w:rsid w:val="0B4E4675"/>
    <w:rsid w:val="0C501B56"/>
    <w:rsid w:val="0CAA7F93"/>
    <w:rsid w:val="0CB71756"/>
    <w:rsid w:val="0CD048A7"/>
    <w:rsid w:val="0CDD5811"/>
    <w:rsid w:val="0D55774B"/>
    <w:rsid w:val="0D7A1E2C"/>
    <w:rsid w:val="0DA52D0A"/>
    <w:rsid w:val="0DAB4E80"/>
    <w:rsid w:val="0DBC3E22"/>
    <w:rsid w:val="0E142AB4"/>
    <w:rsid w:val="0EA03E4F"/>
    <w:rsid w:val="0EB7350F"/>
    <w:rsid w:val="0F3C726C"/>
    <w:rsid w:val="0F497E2E"/>
    <w:rsid w:val="0FFE6EF7"/>
    <w:rsid w:val="103C27AB"/>
    <w:rsid w:val="112B717B"/>
    <w:rsid w:val="121B1AB6"/>
    <w:rsid w:val="125C3791"/>
    <w:rsid w:val="128A4294"/>
    <w:rsid w:val="12D52EFE"/>
    <w:rsid w:val="12DA7D67"/>
    <w:rsid w:val="13541D9F"/>
    <w:rsid w:val="13C70168"/>
    <w:rsid w:val="14646B34"/>
    <w:rsid w:val="148766C1"/>
    <w:rsid w:val="14C44423"/>
    <w:rsid w:val="14D4677C"/>
    <w:rsid w:val="14FD08DA"/>
    <w:rsid w:val="150747F6"/>
    <w:rsid w:val="15091569"/>
    <w:rsid w:val="15476B99"/>
    <w:rsid w:val="169731F2"/>
    <w:rsid w:val="16CE3559"/>
    <w:rsid w:val="16D250D0"/>
    <w:rsid w:val="16E60F40"/>
    <w:rsid w:val="17355686"/>
    <w:rsid w:val="174C726F"/>
    <w:rsid w:val="174E39C0"/>
    <w:rsid w:val="17E17052"/>
    <w:rsid w:val="18202F2C"/>
    <w:rsid w:val="183226A9"/>
    <w:rsid w:val="18E329FB"/>
    <w:rsid w:val="18FF6C55"/>
    <w:rsid w:val="190A77B2"/>
    <w:rsid w:val="1939023C"/>
    <w:rsid w:val="198A01D0"/>
    <w:rsid w:val="198D0673"/>
    <w:rsid w:val="19D42C81"/>
    <w:rsid w:val="1A5F001F"/>
    <w:rsid w:val="1B791358"/>
    <w:rsid w:val="1BC32CA3"/>
    <w:rsid w:val="1BD24A9F"/>
    <w:rsid w:val="1C001FBC"/>
    <w:rsid w:val="1C1F7EC1"/>
    <w:rsid w:val="1C262B70"/>
    <w:rsid w:val="1C943734"/>
    <w:rsid w:val="1CA63972"/>
    <w:rsid w:val="1D597958"/>
    <w:rsid w:val="1DBE289B"/>
    <w:rsid w:val="1DE805E1"/>
    <w:rsid w:val="1EAA6088"/>
    <w:rsid w:val="1F8A3119"/>
    <w:rsid w:val="1FCA297E"/>
    <w:rsid w:val="1FD72FBE"/>
    <w:rsid w:val="20CF3066"/>
    <w:rsid w:val="20D03A31"/>
    <w:rsid w:val="20E20E51"/>
    <w:rsid w:val="214A3E89"/>
    <w:rsid w:val="2156668C"/>
    <w:rsid w:val="21D66226"/>
    <w:rsid w:val="223811A7"/>
    <w:rsid w:val="2241161F"/>
    <w:rsid w:val="225D5A46"/>
    <w:rsid w:val="225F2BDD"/>
    <w:rsid w:val="228C1295"/>
    <w:rsid w:val="22BD2D44"/>
    <w:rsid w:val="22CA6FB8"/>
    <w:rsid w:val="23C4067C"/>
    <w:rsid w:val="23C90161"/>
    <w:rsid w:val="2401230F"/>
    <w:rsid w:val="240D4000"/>
    <w:rsid w:val="247205A7"/>
    <w:rsid w:val="24CB754F"/>
    <w:rsid w:val="24E67BBB"/>
    <w:rsid w:val="24FF3248"/>
    <w:rsid w:val="25433429"/>
    <w:rsid w:val="25483802"/>
    <w:rsid w:val="25524BFA"/>
    <w:rsid w:val="25922A04"/>
    <w:rsid w:val="25C66BCC"/>
    <w:rsid w:val="26013061"/>
    <w:rsid w:val="269A3671"/>
    <w:rsid w:val="26BC3CE9"/>
    <w:rsid w:val="26C765DF"/>
    <w:rsid w:val="26D6235F"/>
    <w:rsid w:val="26D83A0F"/>
    <w:rsid w:val="27335053"/>
    <w:rsid w:val="27783DDA"/>
    <w:rsid w:val="27787D63"/>
    <w:rsid w:val="277E0847"/>
    <w:rsid w:val="280940D0"/>
    <w:rsid w:val="286061C1"/>
    <w:rsid w:val="28D74BB1"/>
    <w:rsid w:val="292835A7"/>
    <w:rsid w:val="292C2214"/>
    <w:rsid w:val="293A00A3"/>
    <w:rsid w:val="298C0F2A"/>
    <w:rsid w:val="29927376"/>
    <w:rsid w:val="29AE169E"/>
    <w:rsid w:val="29DA065F"/>
    <w:rsid w:val="29F7453A"/>
    <w:rsid w:val="29FE6444"/>
    <w:rsid w:val="2A5A7D9F"/>
    <w:rsid w:val="2A8141BF"/>
    <w:rsid w:val="2AAD2D6E"/>
    <w:rsid w:val="2B595F09"/>
    <w:rsid w:val="2B9C0D87"/>
    <w:rsid w:val="2BB2313A"/>
    <w:rsid w:val="2CBE25FD"/>
    <w:rsid w:val="2D0008D8"/>
    <w:rsid w:val="2D181A05"/>
    <w:rsid w:val="2D6566E1"/>
    <w:rsid w:val="2D6F2F9D"/>
    <w:rsid w:val="2ECB2A81"/>
    <w:rsid w:val="2F644CE4"/>
    <w:rsid w:val="2FB33257"/>
    <w:rsid w:val="2FCA119E"/>
    <w:rsid w:val="2FDF30A7"/>
    <w:rsid w:val="2FFB31C0"/>
    <w:rsid w:val="31477D4B"/>
    <w:rsid w:val="314A23D8"/>
    <w:rsid w:val="3225232C"/>
    <w:rsid w:val="323D4212"/>
    <w:rsid w:val="32E313F2"/>
    <w:rsid w:val="32F53044"/>
    <w:rsid w:val="334F657F"/>
    <w:rsid w:val="33A17D7C"/>
    <w:rsid w:val="33E34372"/>
    <w:rsid w:val="33F50A40"/>
    <w:rsid w:val="346748D1"/>
    <w:rsid w:val="351A105A"/>
    <w:rsid w:val="361364E4"/>
    <w:rsid w:val="369B3FF4"/>
    <w:rsid w:val="36B11D23"/>
    <w:rsid w:val="36BA25EC"/>
    <w:rsid w:val="37391127"/>
    <w:rsid w:val="373B1442"/>
    <w:rsid w:val="37874690"/>
    <w:rsid w:val="37966203"/>
    <w:rsid w:val="37983F8D"/>
    <w:rsid w:val="38104939"/>
    <w:rsid w:val="39572E56"/>
    <w:rsid w:val="39CF1511"/>
    <w:rsid w:val="39D277E2"/>
    <w:rsid w:val="3A2E1F70"/>
    <w:rsid w:val="3A374ADB"/>
    <w:rsid w:val="3AA548D2"/>
    <w:rsid w:val="3AD253B2"/>
    <w:rsid w:val="3B274CD9"/>
    <w:rsid w:val="3B656F92"/>
    <w:rsid w:val="3BAC6880"/>
    <w:rsid w:val="3BCF5827"/>
    <w:rsid w:val="3BD24BEF"/>
    <w:rsid w:val="3BFE3BEE"/>
    <w:rsid w:val="3CC81C3D"/>
    <w:rsid w:val="3CE6419B"/>
    <w:rsid w:val="3D67202E"/>
    <w:rsid w:val="3E3E5F2C"/>
    <w:rsid w:val="3E53249A"/>
    <w:rsid w:val="3E847356"/>
    <w:rsid w:val="403924F7"/>
    <w:rsid w:val="403F65CC"/>
    <w:rsid w:val="40D72965"/>
    <w:rsid w:val="40E41CC5"/>
    <w:rsid w:val="40F6126B"/>
    <w:rsid w:val="40F829F7"/>
    <w:rsid w:val="420C4AEC"/>
    <w:rsid w:val="422741C9"/>
    <w:rsid w:val="43681156"/>
    <w:rsid w:val="4380177A"/>
    <w:rsid w:val="438E112E"/>
    <w:rsid w:val="43A723EA"/>
    <w:rsid w:val="43B25D7B"/>
    <w:rsid w:val="43BB0025"/>
    <w:rsid w:val="443D2896"/>
    <w:rsid w:val="44856A05"/>
    <w:rsid w:val="448D52BB"/>
    <w:rsid w:val="44FD7C61"/>
    <w:rsid w:val="455531DE"/>
    <w:rsid w:val="45A016BD"/>
    <w:rsid w:val="46372B7C"/>
    <w:rsid w:val="466F7A4F"/>
    <w:rsid w:val="46BE65DF"/>
    <w:rsid w:val="46C57CE5"/>
    <w:rsid w:val="46D41895"/>
    <w:rsid w:val="47513066"/>
    <w:rsid w:val="47663C23"/>
    <w:rsid w:val="47B90FED"/>
    <w:rsid w:val="480620C7"/>
    <w:rsid w:val="482C0422"/>
    <w:rsid w:val="48961089"/>
    <w:rsid w:val="48E07996"/>
    <w:rsid w:val="49456DF0"/>
    <w:rsid w:val="4A457518"/>
    <w:rsid w:val="4A6F6F5E"/>
    <w:rsid w:val="4A7A4914"/>
    <w:rsid w:val="4AC71A8A"/>
    <w:rsid w:val="4B074D5D"/>
    <w:rsid w:val="4B566F4B"/>
    <w:rsid w:val="4B6E1432"/>
    <w:rsid w:val="4BD5364D"/>
    <w:rsid w:val="4BFC36F6"/>
    <w:rsid w:val="4C1169EE"/>
    <w:rsid w:val="4C155493"/>
    <w:rsid w:val="4C7C6FB8"/>
    <w:rsid w:val="4D1607F8"/>
    <w:rsid w:val="4D4D4E06"/>
    <w:rsid w:val="4E290FEB"/>
    <w:rsid w:val="4E3900D4"/>
    <w:rsid w:val="4E7B0B73"/>
    <w:rsid w:val="4E7E4F82"/>
    <w:rsid w:val="4F4320DE"/>
    <w:rsid w:val="4F7D786F"/>
    <w:rsid w:val="4F855CB7"/>
    <w:rsid w:val="4FF72856"/>
    <w:rsid w:val="509D166A"/>
    <w:rsid w:val="50A350BA"/>
    <w:rsid w:val="50C95EA0"/>
    <w:rsid w:val="50DD5996"/>
    <w:rsid w:val="50FB1CF6"/>
    <w:rsid w:val="51015AD7"/>
    <w:rsid w:val="513A2C1B"/>
    <w:rsid w:val="514553E2"/>
    <w:rsid w:val="517822E4"/>
    <w:rsid w:val="533A0D78"/>
    <w:rsid w:val="53837954"/>
    <w:rsid w:val="53B67686"/>
    <w:rsid w:val="53E1289B"/>
    <w:rsid w:val="54054E92"/>
    <w:rsid w:val="54650DE5"/>
    <w:rsid w:val="54D35495"/>
    <w:rsid w:val="550A785F"/>
    <w:rsid w:val="55411D00"/>
    <w:rsid w:val="55BF4B87"/>
    <w:rsid w:val="562262BA"/>
    <w:rsid w:val="569D0B8A"/>
    <w:rsid w:val="570E28A4"/>
    <w:rsid w:val="5747154E"/>
    <w:rsid w:val="57AA3C4C"/>
    <w:rsid w:val="58517F57"/>
    <w:rsid w:val="58655B2F"/>
    <w:rsid w:val="58B97418"/>
    <w:rsid w:val="5916782D"/>
    <w:rsid w:val="59851C96"/>
    <w:rsid w:val="59F23241"/>
    <w:rsid w:val="59F341CB"/>
    <w:rsid w:val="5A1F6117"/>
    <w:rsid w:val="5AA56BD6"/>
    <w:rsid w:val="5BDC7313"/>
    <w:rsid w:val="5C0878BE"/>
    <w:rsid w:val="5C0C0CB0"/>
    <w:rsid w:val="5C3E76B8"/>
    <w:rsid w:val="5CB64FCB"/>
    <w:rsid w:val="5D5C07B0"/>
    <w:rsid w:val="5DB6702A"/>
    <w:rsid w:val="5EB5121D"/>
    <w:rsid w:val="5F4F5BEF"/>
    <w:rsid w:val="5F5A1292"/>
    <w:rsid w:val="5FB768E1"/>
    <w:rsid w:val="5FE110BA"/>
    <w:rsid w:val="5FE41DC5"/>
    <w:rsid w:val="5FEF0E24"/>
    <w:rsid w:val="6035098C"/>
    <w:rsid w:val="60B77C09"/>
    <w:rsid w:val="61371638"/>
    <w:rsid w:val="61735CA0"/>
    <w:rsid w:val="61C215C9"/>
    <w:rsid w:val="61F703A5"/>
    <w:rsid w:val="62AB7CAF"/>
    <w:rsid w:val="62E231DD"/>
    <w:rsid w:val="62FD2D08"/>
    <w:rsid w:val="6324699C"/>
    <w:rsid w:val="63574FE9"/>
    <w:rsid w:val="635E1749"/>
    <w:rsid w:val="63DD4504"/>
    <w:rsid w:val="643C4061"/>
    <w:rsid w:val="645B4A57"/>
    <w:rsid w:val="64692C49"/>
    <w:rsid w:val="64A7301A"/>
    <w:rsid w:val="64DA0F8B"/>
    <w:rsid w:val="64FF50A2"/>
    <w:rsid w:val="65C34373"/>
    <w:rsid w:val="65CC0FA9"/>
    <w:rsid w:val="66944059"/>
    <w:rsid w:val="67612BBA"/>
    <w:rsid w:val="67627202"/>
    <w:rsid w:val="677867AF"/>
    <w:rsid w:val="67861675"/>
    <w:rsid w:val="67FE639D"/>
    <w:rsid w:val="687D3598"/>
    <w:rsid w:val="689F793F"/>
    <w:rsid w:val="68BD0D07"/>
    <w:rsid w:val="694A6D38"/>
    <w:rsid w:val="69D61FD8"/>
    <w:rsid w:val="69E24FEE"/>
    <w:rsid w:val="6A8F0DFD"/>
    <w:rsid w:val="6B091FD9"/>
    <w:rsid w:val="6BCB4DBA"/>
    <w:rsid w:val="6BD31BF8"/>
    <w:rsid w:val="6C843D07"/>
    <w:rsid w:val="6C8F21DD"/>
    <w:rsid w:val="6C91268E"/>
    <w:rsid w:val="6CC83ED7"/>
    <w:rsid w:val="6D665460"/>
    <w:rsid w:val="6D9A4088"/>
    <w:rsid w:val="6DF200E2"/>
    <w:rsid w:val="6E2F1969"/>
    <w:rsid w:val="6E490C65"/>
    <w:rsid w:val="6F39285E"/>
    <w:rsid w:val="6F5C751C"/>
    <w:rsid w:val="6FBE7FCB"/>
    <w:rsid w:val="70085B6B"/>
    <w:rsid w:val="70B93D5D"/>
    <w:rsid w:val="711859E5"/>
    <w:rsid w:val="71835B20"/>
    <w:rsid w:val="721B4852"/>
    <w:rsid w:val="72AA4145"/>
    <w:rsid w:val="72F26EC9"/>
    <w:rsid w:val="731D3841"/>
    <w:rsid w:val="736643F3"/>
    <w:rsid w:val="73736000"/>
    <w:rsid w:val="7377001B"/>
    <w:rsid w:val="73860418"/>
    <w:rsid w:val="7388700D"/>
    <w:rsid w:val="73965F64"/>
    <w:rsid w:val="74686C27"/>
    <w:rsid w:val="7504409E"/>
    <w:rsid w:val="75125AB1"/>
    <w:rsid w:val="753A2CC9"/>
    <w:rsid w:val="7569104A"/>
    <w:rsid w:val="757E04DB"/>
    <w:rsid w:val="75CD14E2"/>
    <w:rsid w:val="75F321C2"/>
    <w:rsid w:val="75F6614D"/>
    <w:rsid w:val="75F96D38"/>
    <w:rsid w:val="76203FBD"/>
    <w:rsid w:val="762512A7"/>
    <w:rsid w:val="763826D1"/>
    <w:rsid w:val="76A96B2E"/>
    <w:rsid w:val="76F465CD"/>
    <w:rsid w:val="77157545"/>
    <w:rsid w:val="773A4B7F"/>
    <w:rsid w:val="775866A3"/>
    <w:rsid w:val="778364AF"/>
    <w:rsid w:val="779413DC"/>
    <w:rsid w:val="77FE4A22"/>
    <w:rsid w:val="79244636"/>
    <w:rsid w:val="79B727BB"/>
    <w:rsid w:val="7A16049D"/>
    <w:rsid w:val="7A7D2B11"/>
    <w:rsid w:val="7A8004A5"/>
    <w:rsid w:val="7AAF0A3E"/>
    <w:rsid w:val="7ABD61C5"/>
    <w:rsid w:val="7B1A775B"/>
    <w:rsid w:val="7B496C7E"/>
    <w:rsid w:val="7B972AD7"/>
    <w:rsid w:val="7B990EAC"/>
    <w:rsid w:val="7B9B5A6B"/>
    <w:rsid w:val="7C342FC8"/>
    <w:rsid w:val="7D467B4B"/>
    <w:rsid w:val="7E75317F"/>
    <w:rsid w:val="7F2C0547"/>
    <w:rsid w:val="7F9327B7"/>
    <w:rsid w:val="7FAF1B3E"/>
    <w:rsid w:val="7FF86B5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199</Words>
  <Characters>1135</Characters>
  <Lines>9</Lines>
  <Paragraphs>2</Paragraphs>
  <ScaleCrop>false</ScaleCrop>
  <LinksUpToDate>false</LinksUpToDate>
  <CharactersWithSpaces>1332</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2014-05-22T07:07:00Z</dcterms:created>
  <dc:creator>liu y</dc:creator>
  <cp:lastModifiedBy>Administrator</cp:lastModifiedBy>
  <cp:lastPrinted>2017-02-21T08:38:00Z</cp:lastPrinted>
  <dcterms:modified xsi:type="dcterms:W3CDTF">2017-04-13T11:39:52Z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