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spacing w:after="240" w:line="360" w:lineRule="auto"/>
        <w:ind w:firstLine="600"/>
        <w:jc w:val="center"/>
        <w:rPr>
          <w:rFonts w:ascii="黑体" w:hAnsi="黑体" w:eastAsia="黑体" w:cs="Times New Roman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highlight w:val="none"/>
        </w:rPr>
        <w:t>摇匀型</w:t>
      </w:r>
      <w:r>
        <w:rPr>
          <w:rFonts w:ascii="黑体" w:hAnsi="黑体" w:eastAsia="黑体" w:cs="Times New Roman"/>
          <w:kern w:val="0"/>
          <w:sz w:val="30"/>
          <w:szCs w:val="30"/>
          <w:highlight w:val="none"/>
        </w:rPr>
        <w:t>防晒乳液</w:t>
      </w:r>
      <w:r>
        <w:rPr>
          <w:rFonts w:hint="eastAsia" w:ascii="黑体" w:hAnsi="黑体" w:eastAsia="黑体" w:cs="Times New Roman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黑体" w:hAnsi="黑体" w:eastAsia="黑体" w:cs="Times New Roman"/>
          <w:kern w:val="0"/>
          <w:sz w:val="30"/>
          <w:szCs w:val="30"/>
          <w:highlight w:val="none"/>
          <w:lang w:val="en-US" w:eastAsia="zh-CN"/>
        </w:rPr>
        <w:t>油包水型</w:t>
      </w:r>
      <w:r>
        <w:rPr>
          <w:rFonts w:hint="eastAsia" w:ascii="黑体" w:hAnsi="黑体" w:eastAsia="黑体" w:cs="Times New Roman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黑体" w:hAnsi="黑体" w:eastAsia="黑体" w:cs="Times New Roman"/>
          <w:kern w:val="0"/>
          <w:sz w:val="30"/>
          <w:szCs w:val="30"/>
          <w:highlight w:val="none"/>
        </w:rPr>
        <w:t xml:space="preserve"> </w:t>
      </w:r>
      <w:r>
        <w:rPr>
          <w:rFonts w:ascii="黑体" w:hAnsi="黑体" w:eastAsia="黑体" w:cs="Times New Roman"/>
          <w:kern w:val="0"/>
          <w:sz w:val="30"/>
          <w:szCs w:val="30"/>
          <w:highlight w:val="none"/>
        </w:rPr>
        <w:t>编制说明</w:t>
      </w:r>
    </w:p>
    <w:p>
      <w:pPr>
        <w:pStyle w:val="46"/>
        <w:numPr>
          <w:ilvl w:val="0"/>
          <w:numId w:val="1"/>
        </w:numPr>
        <w:spacing w:before="156" w:beforeLines="50" w:after="156" w:afterLines="50" w:line="360" w:lineRule="auto"/>
        <w:ind w:left="482" w:hanging="482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任务来源</w:t>
      </w:r>
    </w:p>
    <w:p>
      <w:pPr>
        <w:pStyle w:val="46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2018年3月本标准经中国香料香精化妆品工业协会审议通过立项，通知见《关于2018年中国香料香精化妆品工业协会团体标准（第一批）立项公示的通知 》（香化协字[2018]11号）。</w:t>
      </w:r>
    </w:p>
    <w:p>
      <w:pPr>
        <w:pStyle w:val="46"/>
        <w:numPr>
          <w:ilvl w:val="0"/>
          <w:numId w:val="1"/>
        </w:numPr>
        <w:spacing w:before="156" w:beforeLines="50" w:after="156" w:afterLines="50" w:line="360" w:lineRule="auto"/>
        <w:ind w:left="482" w:hanging="482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制定标准的目的和意义</w:t>
      </w:r>
    </w:p>
    <w:p>
      <w:pPr>
        <w:pStyle w:val="46"/>
        <w:spacing w:line="360" w:lineRule="auto"/>
        <w:ind w:firstLine="480"/>
        <w:rPr>
          <w:rFonts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</w:rPr>
        <w:t>摇匀型防晒乳液：指以防晒剂为功效成分，用于减轻紫外线对皮肤的伤害，静置易分层，使用前需要充分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摇匀的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油包水型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乳液产品。</w:t>
      </w:r>
    </w:p>
    <w:p>
      <w:pPr>
        <w:pStyle w:val="46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近年来，随着人们生活水平的提高，各种类型的防晒产品纷纷进入市场，其中摇匀型防晒乳液产品凭借其较为新奇的产品特性、独特的使用体验、良好的使用效果已经被消费者广泛接受和使用，其质量优劣也直接关系到消费者的健康和人体安全。目前行业中缺乏该类产品的执行标准，大多数企业按照GB/T 29665-2013 《护肤乳液》标准执行，但该标准并不完全适用于此类产品，原因：一是缺少对产品防晒剂的相关要求，二是此类产品无法满足GB/T 29665-2013 《护肤乳液》标准中耐热、耐寒、离心考验等指标的要求。部分以制定企业标准来控制产品的质量，但容易造成各生产企业对产品质量控制不一致，无标生产的现象也十分突出，监管和市场准入依据缺失。因此，有必要制定摇匀型防晒乳液团体标准，指导企业控制产品质量，组织产品的生产。</w:t>
      </w:r>
    </w:p>
    <w:p>
      <w:pPr>
        <w:pStyle w:val="46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统一产品标准，不仅有利于提高产品质量，提升整个行业的产品质量水平，从而保证消费者的健康安全。同时，也避免了企业重复制标，节约了有限的社会和经济资源，而且也为行政监管部门的监督管理提供依据，有法可依，有章可循。</w:t>
      </w:r>
    </w:p>
    <w:p>
      <w:pPr>
        <w:pStyle w:val="46"/>
        <w:numPr>
          <w:ilvl w:val="0"/>
          <w:numId w:val="1"/>
        </w:numPr>
        <w:spacing w:before="156" w:beforeLines="50" w:after="156" w:afterLines="50" w:line="360" w:lineRule="auto"/>
        <w:ind w:left="482" w:hanging="482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标准的性质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本标准是团体标准。</w:t>
      </w:r>
    </w:p>
    <w:p>
      <w:pPr>
        <w:pStyle w:val="46"/>
        <w:numPr>
          <w:ilvl w:val="0"/>
          <w:numId w:val="1"/>
        </w:numPr>
        <w:spacing w:before="156" w:beforeLines="50" w:after="156" w:afterLines="50" w:line="360" w:lineRule="auto"/>
        <w:ind w:left="482" w:hanging="482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编制说明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本标准的编写依据GB/T 1.1-2009《标准化工作导则 第1部分：标准的结构和编写》。 </w:t>
      </w:r>
    </w:p>
    <w:p>
      <w:pPr>
        <w:pStyle w:val="46"/>
        <w:numPr>
          <w:ilvl w:val="0"/>
          <w:numId w:val="1"/>
        </w:numPr>
        <w:spacing w:before="156" w:beforeLines="50" w:after="156" w:afterLines="50" w:line="360" w:lineRule="auto"/>
        <w:ind w:left="482" w:hanging="482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标准技术指标确立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 适用范围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本标准适用于以防晒剂为功效成分，用于减轻紫外线对皮肤伤害，静置易分层，使用前需要充分摇匀的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油包水型</w:t>
      </w:r>
      <w:r>
        <w:rPr>
          <w:rFonts w:hint="eastAsia" w:ascii="宋体" w:hAnsi="宋体" w:eastAsia="宋体" w:cs="Times New Roman"/>
          <w:sz w:val="24"/>
          <w:szCs w:val="24"/>
        </w:rPr>
        <w:t>乳液产品。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 卫生化学及微生物指标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本标准规定产品应符合《化妆品安全技术规范》（2015年版）的要求。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. 防晒剂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本标准规定产品的防晒剂添加种类和添加量应符合《化妆品安全技术规范》（2015年版）的要求。检验方法和依据按照《化妆品安全技术规范》（2015年版）进行检测。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. pH值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pH值测定的方法引用GB/T 13531.1 《化妆品通用试验方法 pH值的测定》，但考虑同一批号直测法和稀释法所测值不同，因此规定用稀释法作为统一的测定方法，便于不同实验室结果的统一和判定。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测定油包水型产品的 pH 值没有实际意义，因此油包水型产品的 pH 值不作规定。</w:t>
      </w:r>
    </w:p>
    <w:p>
      <w:pPr>
        <w:pStyle w:val="4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耐热、耐寒指标的测定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耐热、耐寒指标是考核产品稳定性的一个理化指标，因产品的特殊性，产品放置一段时间后容易分层。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鉴于产品放置会分层的特性，同时由于各生产企业产品配方体系不同，完全分层时间亦不相同，参照相关化妆品产品标准，规定：①耐热(40±1)℃保持24h，恢复至室温充分摇匀后，外观与试验前无明显差异；②耐寒指标（-8±2）℃保持24h，恢复至室温充分摇匀后，外观与试验前无明显差异。</w:t>
      </w:r>
    </w:p>
    <w:p>
      <w:pPr>
        <w:pStyle w:val="4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净含量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引用了2006年1月1日起实施的国家质量监督检验检疫总局令第75号令和JJF 1070。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七、符合国际标准或国外先进标准的说明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据查证，目前尚无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“摇匀型防晒乳液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油包水型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”国际标准或</w:t>
      </w:r>
      <w:r>
        <w:rPr>
          <w:rFonts w:hint="eastAsia" w:ascii="宋体" w:hAnsi="宋体" w:eastAsia="宋体" w:cs="Times New Roman"/>
          <w:sz w:val="24"/>
          <w:szCs w:val="24"/>
        </w:rPr>
        <w:t xml:space="preserve">国外先进标准。 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八、验证数据 </w:t>
      </w:r>
    </w:p>
    <w:p>
      <w:pPr>
        <w:spacing w:line="360" w:lineRule="auto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表1 感官、理化指标验证</w:t>
      </w:r>
    </w:p>
    <w:tbl>
      <w:tblPr>
        <w:tblStyle w:val="2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56"/>
        <w:gridCol w:w="774"/>
        <w:gridCol w:w="775"/>
        <w:gridCol w:w="775"/>
        <w:gridCol w:w="775"/>
        <w:gridCol w:w="775"/>
        <w:gridCol w:w="775"/>
        <w:gridCol w:w="775"/>
        <w:gridCol w:w="77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检测项目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条件/单位</w:t>
            </w:r>
          </w:p>
        </w:tc>
        <w:tc>
          <w:tcPr>
            <w:tcW w:w="619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批次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bhzb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hwsg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sgbh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nsqs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1sfr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qsfr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111401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111402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外观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室温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摇匀后料体均匀，和标样一致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气味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室温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符合标样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符合标样，无异味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耐热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（40±1）℃ 保持24h，恢复至室温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（40±1）℃ 保持24h，恢复至室温，摇匀后无油水分离现象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耐寒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（-8±1）℃ 保持24h，恢复至室温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（-8±2）℃ 保持24h，恢复至室温，摇匀后无油水分离现象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bookmarkStart w:id="0" w:name="_GoBack" w:colFirst="10" w:colLast="10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>pH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稀释法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油包水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油包水型不测pH</w:t>
            </w:r>
          </w:p>
        </w:tc>
      </w:tr>
      <w:bookmarkEnd w:id="0"/>
    </w:tbl>
    <w:p>
      <w:pPr>
        <w:spacing w:line="360" w:lineRule="auto"/>
        <w:jc w:val="center"/>
        <w:rPr>
          <w:rFonts w:ascii="宋体" w:hAnsi="宋体" w:eastAsia="宋体" w:cs="Times New Roman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spacing w:line="360" w:lineRule="auto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表2 卫生指标验证</w:t>
      </w:r>
    </w:p>
    <w:tbl>
      <w:tblPr>
        <w:tblStyle w:val="2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3"/>
        <w:gridCol w:w="774"/>
        <w:gridCol w:w="775"/>
        <w:gridCol w:w="775"/>
        <w:gridCol w:w="775"/>
        <w:gridCol w:w="775"/>
        <w:gridCol w:w="775"/>
        <w:gridCol w:w="775"/>
        <w:gridCol w:w="77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检测项目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条件/单位</w:t>
            </w:r>
          </w:p>
        </w:tc>
        <w:tc>
          <w:tcPr>
            <w:tcW w:w="619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批次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bhzb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hwsg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sgbh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nsqs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1sfr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qsfr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111401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111402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铅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mg/kg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符合《化妆品安全技术规范》2015版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mg/kg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汞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mg/kg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镉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mg/kg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甲醇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mg/kg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二噁烷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mg/kg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石棉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mg/kg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菌落总数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cfu/g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≤500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霉菌</w:t>
            </w:r>
            <w:r>
              <w:rPr>
                <w:rFonts w:ascii="Times New Roman" w:hAnsi="宋体"/>
                <w:sz w:val="18"/>
                <w:szCs w:val="18"/>
              </w:rPr>
              <w:t>和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酵母菌总数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cfu/g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≤100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耐热大肠菌群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cfu/g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金黄色葡萄球菌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cfu/g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铜绿假单胞菌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cfu/g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未检出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表3 防晒剂指标验证</w:t>
      </w:r>
    </w:p>
    <w:tbl>
      <w:tblPr>
        <w:tblStyle w:val="2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3"/>
        <w:gridCol w:w="774"/>
        <w:gridCol w:w="775"/>
        <w:gridCol w:w="775"/>
        <w:gridCol w:w="775"/>
        <w:gridCol w:w="775"/>
        <w:gridCol w:w="775"/>
        <w:gridCol w:w="775"/>
        <w:gridCol w:w="77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检测项目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条件/单位</w:t>
            </w:r>
          </w:p>
        </w:tc>
        <w:tc>
          <w:tcPr>
            <w:tcW w:w="619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批次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bhzb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hwsg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sgbh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nsqs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1sfr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qsfr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111401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111402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苯基苯并咪唑磺酸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2.43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3.81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符合《化妆品安全技术规范》2015版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二苯酮-4 和二苯酮-5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对氨基苯甲酸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不得检出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二苯酮-3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p-甲氧基肉桂酸异戊酯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4-甲基苄亚基樟脑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PABA 乙基己酯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丁基甲氧基二苯酰基甲烷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奥克立林（以酸计）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1.72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1.91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1.77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甲氧基肉桂酸乙基己酯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7.39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8.04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7.59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7.46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9.42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9.41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6.99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7.99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水杨酸乙基己酯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4.45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胡莫柳酯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乙基己基三嗪酮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0.99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1.59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亚甲基双-苯并三唑基四甲基丁基酚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1.25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0.735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1.01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0.922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双-乙基己氧苯酚甲氧苯基三嗪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0.91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1.39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0.46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二氧化钛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2.12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氧化锌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5.82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13.5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10.6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二苯酮-2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二乙氨羟苯甲酰基苯甲酸己酯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1.31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二乙基己基丁酰胺基三嗪酮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亚苄基樟脑磺酸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苯基二苯并咪唑四磺酸酯二钠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%（w/w）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4301"/>
    <w:multiLevelType w:val="multilevel"/>
    <w:tmpl w:val="7A3D430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475AC"/>
    <w:multiLevelType w:val="multilevel"/>
    <w:tmpl w:val="7D8475AC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F87"/>
    <w:rsid w:val="000003AA"/>
    <w:rsid w:val="0000041E"/>
    <w:rsid w:val="00002E06"/>
    <w:rsid w:val="00011D06"/>
    <w:rsid w:val="00022BEA"/>
    <w:rsid w:val="00036723"/>
    <w:rsid w:val="00051320"/>
    <w:rsid w:val="0006300E"/>
    <w:rsid w:val="00064B48"/>
    <w:rsid w:val="00066D24"/>
    <w:rsid w:val="00084941"/>
    <w:rsid w:val="00091F01"/>
    <w:rsid w:val="00092FBF"/>
    <w:rsid w:val="00093338"/>
    <w:rsid w:val="00096C36"/>
    <w:rsid w:val="000A3157"/>
    <w:rsid w:val="000A686F"/>
    <w:rsid w:val="000A7015"/>
    <w:rsid w:val="000A7890"/>
    <w:rsid w:val="000C6B4C"/>
    <w:rsid w:val="000D2B90"/>
    <w:rsid w:val="000D6DAD"/>
    <w:rsid w:val="000D7709"/>
    <w:rsid w:val="000F473E"/>
    <w:rsid w:val="00101711"/>
    <w:rsid w:val="00113309"/>
    <w:rsid w:val="00114A6E"/>
    <w:rsid w:val="00124CC1"/>
    <w:rsid w:val="00126D17"/>
    <w:rsid w:val="00134CF0"/>
    <w:rsid w:val="0014434A"/>
    <w:rsid w:val="00150333"/>
    <w:rsid w:val="0016343B"/>
    <w:rsid w:val="001729E8"/>
    <w:rsid w:val="00172A53"/>
    <w:rsid w:val="00175775"/>
    <w:rsid w:val="001801BA"/>
    <w:rsid w:val="00180EFB"/>
    <w:rsid w:val="00185956"/>
    <w:rsid w:val="001A551D"/>
    <w:rsid w:val="001B60BC"/>
    <w:rsid w:val="001B7880"/>
    <w:rsid w:val="001D11CB"/>
    <w:rsid w:val="001D3509"/>
    <w:rsid w:val="001D42A8"/>
    <w:rsid w:val="001D7CBF"/>
    <w:rsid w:val="001E5EF4"/>
    <w:rsid w:val="001E7841"/>
    <w:rsid w:val="001F156C"/>
    <w:rsid w:val="001F5095"/>
    <w:rsid w:val="001F7752"/>
    <w:rsid w:val="00210229"/>
    <w:rsid w:val="0021313E"/>
    <w:rsid w:val="00215E5B"/>
    <w:rsid w:val="00216538"/>
    <w:rsid w:val="002175BE"/>
    <w:rsid w:val="00220691"/>
    <w:rsid w:val="002220AF"/>
    <w:rsid w:val="002303B7"/>
    <w:rsid w:val="002411F9"/>
    <w:rsid w:val="0024348C"/>
    <w:rsid w:val="00245D50"/>
    <w:rsid w:val="00250A53"/>
    <w:rsid w:val="0025476A"/>
    <w:rsid w:val="00262443"/>
    <w:rsid w:val="00271A6C"/>
    <w:rsid w:val="0028764F"/>
    <w:rsid w:val="002936BE"/>
    <w:rsid w:val="00293882"/>
    <w:rsid w:val="00295B4A"/>
    <w:rsid w:val="002A3BA5"/>
    <w:rsid w:val="002A3C02"/>
    <w:rsid w:val="002B13EE"/>
    <w:rsid w:val="002E5491"/>
    <w:rsid w:val="002E67EF"/>
    <w:rsid w:val="00310C1D"/>
    <w:rsid w:val="00320601"/>
    <w:rsid w:val="00323F8E"/>
    <w:rsid w:val="0033464A"/>
    <w:rsid w:val="003425B0"/>
    <w:rsid w:val="003619FD"/>
    <w:rsid w:val="00363577"/>
    <w:rsid w:val="0038585A"/>
    <w:rsid w:val="00387443"/>
    <w:rsid w:val="003906F2"/>
    <w:rsid w:val="003D4852"/>
    <w:rsid w:val="00410D7E"/>
    <w:rsid w:val="0041182E"/>
    <w:rsid w:val="004164DC"/>
    <w:rsid w:val="004219A7"/>
    <w:rsid w:val="00441C6F"/>
    <w:rsid w:val="00442814"/>
    <w:rsid w:val="00452F09"/>
    <w:rsid w:val="00456158"/>
    <w:rsid w:val="00483B56"/>
    <w:rsid w:val="00483ECA"/>
    <w:rsid w:val="00485413"/>
    <w:rsid w:val="004926F7"/>
    <w:rsid w:val="004A3061"/>
    <w:rsid w:val="004A5951"/>
    <w:rsid w:val="004A5963"/>
    <w:rsid w:val="004A6AAC"/>
    <w:rsid w:val="004B0DEB"/>
    <w:rsid w:val="004D30ED"/>
    <w:rsid w:val="004D788F"/>
    <w:rsid w:val="004E34EF"/>
    <w:rsid w:val="004E3AF3"/>
    <w:rsid w:val="004E5801"/>
    <w:rsid w:val="004F6D73"/>
    <w:rsid w:val="00501948"/>
    <w:rsid w:val="005038FC"/>
    <w:rsid w:val="00517179"/>
    <w:rsid w:val="005356BF"/>
    <w:rsid w:val="00557A42"/>
    <w:rsid w:val="00577D0C"/>
    <w:rsid w:val="005A10F5"/>
    <w:rsid w:val="005A1656"/>
    <w:rsid w:val="005A44A8"/>
    <w:rsid w:val="005C0854"/>
    <w:rsid w:val="005C22AF"/>
    <w:rsid w:val="005D7E44"/>
    <w:rsid w:val="005E62E7"/>
    <w:rsid w:val="005F1C57"/>
    <w:rsid w:val="006006BE"/>
    <w:rsid w:val="00602BA0"/>
    <w:rsid w:val="006254A5"/>
    <w:rsid w:val="00651D2D"/>
    <w:rsid w:val="00652BCE"/>
    <w:rsid w:val="00653E70"/>
    <w:rsid w:val="00654572"/>
    <w:rsid w:val="00654728"/>
    <w:rsid w:val="006634AB"/>
    <w:rsid w:val="00682A28"/>
    <w:rsid w:val="00692A32"/>
    <w:rsid w:val="00693E5E"/>
    <w:rsid w:val="006947D3"/>
    <w:rsid w:val="006A0BEB"/>
    <w:rsid w:val="006C058F"/>
    <w:rsid w:val="006C3438"/>
    <w:rsid w:val="006C71EE"/>
    <w:rsid w:val="006D09B7"/>
    <w:rsid w:val="006D24D4"/>
    <w:rsid w:val="006D3B58"/>
    <w:rsid w:val="006D70F0"/>
    <w:rsid w:val="006D7210"/>
    <w:rsid w:val="006E288F"/>
    <w:rsid w:val="006F45B5"/>
    <w:rsid w:val="006F68CC"/>
    <w:rsid w:val="006F6B0B"/>
    <w:rsid w:val="00705ED0"/>
    <w:rsid w:val="0071009D"/>
    <w:rsid w:val="00710786"/>
    <w:rsid w:val="0071459E"/>
    <w:rsid w:val="00720179"/>
    <w:rsid w:val="00724305"/>
    <w:rsid w:val="0073175B"/>
    <w:rsid w:val="00736244"/>
    <w:rsid w:val="0074168E"/>
    <w:rsid w:val="00744900"/>
    <w:rsid w:val="0075285F"/>
    <w:rsid w:val="007531C0"/>
    <w:rsid w:val="007A25FB"/>
    <w:rsid w:val="007B0A7C"/>
    <w:rsid w:val="007C4EC3"/>
    <w:rsid w:val="007C64E7"/>
    <w:rsid w:val="007D58AC"/>
    <w:rsid w:val="007D5EE7"/>
    <w:rsid w:val="007E15CD"/>
    <w:rsid w:val="007F28F6"/>
    <w:rsid w:val="007F6591"/>
    <w:rsid w:val="00805E98"/>
    <w:rsid w:val="008120C3"/>
    <w:rsid w:val="00812E18"/>
    <w:rsid w:val="00813747"/>
    <w:rsid w:val="00825A59"/>
    <w:rsid w:val="00831E92"/>
    <w:rsid w:val="008343C6"/>
    <w:rsid w:val="00853110"/>
    <w:rsid w:val="008615E0"/>
    <w:rsid w:val="00877EFD"/>
    <w:rsid w:val="00883BAE"/>
    <w:rsid w:val="00883FC1"/>
    <w:rsid w:val="00885F82"/>
    <w:rsid w:val="008951BE"/>
    <w:rsid w:val="0089572C"/>
    <w:rsid w:val="00896519"/>
    <w:rsid w:val="008A03DD"/>
    <w:rsid w:val="008A1D12"/>
    <w:rsid w:val="008B0AB9"/>
    <w:rsid w:val="008B17C1"/>
    <w:rsid w:val="008D3FB2"/>
    <w:rsid w:val="008D5920"/>
    <w:rsid w:val="008F091E"/>
    <w:rsid w:val="008F3EB7"/>
    <w:rsid w:val="008F7B9B"/>
    <w:rsid w:val="009037AA"/>
    <w:rsid w:val="0090461A"/>
    <w:rsid w:val="0093609D"/>
    <w:rsid w:val="009409A4"/>
    <w:rsid w:val="0095248A"/>
    <w:rsid w:val="00955FF2"/>
    <w:rsid w:val="00960381"/>
    <w:rsid w:val="009609C4"/>
    <w:rsid w:val="009632A8"/>
    <w:rsid w:val="00985710"/>
    <w:rsid w:val="00987F23"/>
    <w:rsid w:val="00994DB4"/>
    <w:rsid w:val="00995950"/>
    <w:rsid w:val="009E6015"/>
    <w:rsid w:val="009F1AAB"/>
    <w:rsid w:val="00A02573"/>
    <w:rsid w:val="00A1305C"/>
    <w:rsid w:val="00A14B42"/>
    <w:rsid w:val="00A2278E"/>
    <w:rsid w:val="00A37749"/>
    <w:rsid w:val="00A67ED1"/>
    <w:rsid w:val="00A7756C"/>
    <w:rsid w:val="00A8182F"/>
    <w:rsid w:val="00A9094A"/>
    <w:rsid w:val="00A917EB"/>
    <w:rsid w:val="00A92368"/>
    <w:rsid w:val="00A942B3"/>
    <w:rsid w:val="00A94309"/>
    <w:rsid w:val="00A97D70"/>
    <w:rsid w:val="00AA64B3"/>
    <w:rsid w:val="00AB41CD"/>
    <w:rsid w:val="00AB52EF"/>
    <w:rsid w:val="00AC2B0D"/>
    <w:rsid w:val="00AC3F70"/>
    <w:rsid w:val="00AE777A"/>
    <w:rsid w:val="00AF091A"/>
    <w:rsid w:val="00AF47EB"/>
    <w:rsid w:val="00B20F31"/>
    <w:rsid w:val="00B2146C"/>
    <w:rsid w:val="00B24870"/>
    <w:rsid w:val="00B248E5"/>
    <w:rsid w:val="00B26BD6"/>
    <w:rsid w:val="00B30D4D"/>
    <w:rsid w:val="00B42A95"/>
    <w:rsid w:val="00B47810"/>
    <w:rsid w:val="00B650A5"/>
    <w:rsid w:val="00B700A1"/>
    <w:rsid w:val="00B76B42"/>
    <w:rsid w:val="00BA54D3"/>
    <w:rsid w:val="00BB0A9B"/>
    <w:rsid w:val="00BB3A5D"/>
    <w:rsid w:val="00BB4A40"/>
    <w:rsid w:val="00BC5E37"/>
    <w:rsid w:val="00BC7981"/>
    <w:rsid w:val="00BD2CAC"/>
    <w:rsid w:val="00BD3759"/>
    <w:rsid w:val="00BE098F"/>
    <w:rsid w:val="00BE5735"/>
    <w:rsid w:val="00BE7B32"/>
    <w:rsid w:val="00BF0A2D"/>
    <w:rsid w:val="00BF4B3E"/>
    <w:rsid w:val="00C12E86"/>
    <w:rsid w:val="00C30A40"/>
    <w:rsid w:val="00C33898"/>
    <w:rsid w:val="00C44D4C"/>
    <w:rsid w:val="00C51D55"/>
    <w:rsid w:val="00C52D91"/>
    <w:rsid w:val="00C546BE"/>
    <w:rsid w:val="00C72E50"/>
    <w:rsid w:val="00C73FEA"/>
    <w:rsid w:val="00C75D00"/>
    <w:rsid w:val="00C85F87"/>
    <w:rsid w:val="00C924BE"/>
    <w:rsid w:val="00C937BF"/>
    <w:rsid w:val="00CB1774"/>
    <w:rsid w:val="00CB1EBA"/>
    <w:rsid w:val="00CB376F"/>
    <w:rsid w:val="00CB5E94"/>
    <w:rsid w:val="00CC5221"/>
    <w:rsid w:val="00CD2BE3"/>
    <w:rsid w:val="00CD4E06"/>
    <w:rsid w:val="00CD69DF"/>
    <w:rsid w:val="00CE79C7"/>
    <w:rsid w:val="00D15168"/>
    <w:rsid w:val="00D47D70"/>
    <w:rsid w:val="00D56F5F"/>
    <w:rsid w:val="00D763EE"/>
    <w:rsid w:val="00D85CC0"/>
    <w:rsid w:val="00D876BB"/>
    <w:rsid w:val="00DA2B95"/>
    <w:rsid w:val="00DA733B"/>
    <w:rsid w:val="00DB2F7B"/>
    <w:rsid w:val="00DB69AE"/>
    <w:rsid w:val="00DC4DD0"/>
    <w:rsid w:val="00DF2323"/>
    <w:rsid w:val="00DF5C55"/>
    <w:rsid w:val="00DF6BEA"/>
    <w:rsid w:val="00DF734B"/>
    <w:rsid w:val="00E03BD2"/>
    <w:rsid w:val="00E07EDB"/>
    <w:rsid w:val="00E1366B"/>
    <w:rsid w:val="00E1773E"/>
    <w:rsid w:val="00E40B23"/>
    <w:rsid w:val="00E4784B"/>
    <w:rsid w:val="00E56158"/>
    <w:rsid w:val="00E6662F"/>
    <w:rsid w:val="00E727AA"/>
    <w:rsid w:val="00E74C25"/>
    <w:rsid w:val="00E759C5"/>
    <w:rsid w:val="00E84B3D"/>
    <w:rsid w:val="00EC0211"/>
    <w:rsid w:val="00EC3C67"/>
    <w:rsid w:val="00ED2242"/>
    <w:rsid w:val="00EE0425"/>
    <w:rsid w:val="00EF49A4"/>
    <w:rsid w:val="00F022C4"/>
    <w:rsid w:val="00F04075"/>
    <w:rsid w:val="00F10D0C"/>
    <w:rsid w:val="00F2228C"/>
    <w:rsid w:val="00F34E55"/>
    <w:rsid w:val="00F3516F"/>
    <w:rsid w:val="00F36B0E"/>
    <w:rsid w:val="00F40876"/>
    <w:rsid w:val="00F43689"/>
    <w:rsid w:val="00F52C0D"/>
    <w:rsid w:val="00F62B62"/>
    <w:rsid w:val="00F644DD"/>
    <w:rsid w:val="00F6620F"/>
    <w:rsid w:val="00F66E70"/>
    <w:rsid w:val="00F779C3"/>
    <w:rsid w:val="00F865A2"/>
    <w:rsid w:val="00FA2653"/>
    <w:rsid w:val="00FC0AC9"/>
    <w:rsid w:val="00FF1DFA"/>
    <w:rsid w:val="00FF448C"/>
    <w:rsid w:val="0F861061"/>
    <w:rsid w:val="2316758A"/>
    <w:rsid w:val="5F0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27"/>
    <w:semiHidden/>
    <w:unhideWhenUsed/>
    <w:uiPriority w:val="99"/>
    <w:rPr>
      <w:b/>
      <w:bCs/>
    </w:rPr>
  </w:style>
  <w:style w:type="paragraph" w:styleId="12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24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styleId="20">
    <w:name w:val="Hyperlink"/>
    <w:basedOn w:val="17"/>
    <w:unhideWhenUsed/>
    <w:uiPriority w:val="99"/>
    <w:rPr>
      <w:color w:val="0000FF" w:themeColor="hyperlink"/>
      <w:u w:val="single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页眉 Char"/>
    <w:basedOn w:val="17"/>
    <w:link w:val="15"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14"/>
    <w:qFormat/>
    <w:uiPriority w:val="99"/>
    <w:rPr>
      <w:sz w:val="18"/>
      <w:szCs w:val="18"/>
    </w:rPr>
  </w:style>
  <w:style w:type="character" w:customStyle="1" w:styleId="26">
    <w:name w:val="批注文字 Char"/>
    <w:basedOn w:val="17"/>
    <w:link w:val="12"/>
    <w:semiHidden/>
    <w:uiPriority w:val="99"/>
  </w:style>
  <w:style w:type="character" w:customStyle="1" w:styleId="27">
    <w:name w:val="批注主题 Char"/>
    <w:basedOn w:val="26"/>
    <w:link w:val="11"/>
    <w:semiHidden/>
    <w:qFormat/>
    <w:uiPriority w:val="99"/>
    <w:rPr>
      <w:b/>
      <w:bCs/>
    </w:rPr>
  </w:style>
  <w:style w:type="character" w:customStyle="1" w:styleId="28">
    <w:name w:val="批注框文本 Char"/>
    <w:basedOn w:val="17"/>
    <w:link w:val="13"/>
    <w:semiHidden/>
    <w:qFormat/>
    <w:uiPriority w:val="99"/>
    <w:rPr>
      <w:sz w:val="18"/>
      <w:szCs w:val="18"/>
    </w:rPr>
  </w:style>
  <w:style w:type="paragraph" w:styleId="2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1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1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标题 5 Char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35">
    <w:name w:val="标题 Char"/>
    <w:basedOn w:val="17"/>
    <w:link w:val="16"/>
    <w:uiPriority w:val="10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36">
    <w:name w:val="标题 6 Char"/>
    <w:basedOn w:val="17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7">
    <w:name w:val="标题 7 Char"/>
    <w:basedOn w:val="17"/>
    <w:link w:val="8"/>
    <w:qFormat/>
    <w:uiPriority w:val="9"/>
    <w:rPr>
      <w:b/>
      <w:bCs/>
      <w:sz w:val="24"/>
      <w:szCs w:val="24"/>
    </w:rPr>
  </w:style>
  <w:style w:type="character" w:customStyle="1" w:styleId="38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</w:rPr>
  </w:style>
  <w:style w:type="character" w:customStyle="1" w:styleId="40">
    <w:name w:val="引用 Char"/>
    <w:basedOn w:val="17"/>
    <w:link w:val="39"/>
    <w:uiPriority w:val="29"/>
    <w:rPr>
      <w:i/>
      <w:iCs/>
      <w:color w:val="000000" w:themeColor="text1"/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2">
    <w:name w:val="明显引用 Char"/>
    <w:basedOn w:val="17"/>
    <w:link w:val="41"/>
    <w:uiPriority w:val="30"/>
    <w:rPr>
      <w:b/>
      <w:bCs/>
      <w:i/>
      <w:iCs/>
      <w:color w:val="4F81BD" w:themeColor="accent1"/>
    </w:rPr>
  </w:style>
  <w:style w:type="character" w:customStyle="1" w:styleId="43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44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5">
    <w:name w:val="Subtle Emphasis"/>
    <w:basedOn w:val="17"/>
    <w:qFormat/>
    <w:uiPriority w:val="19"/>
    <w:rPr>
      <w:i/>
      <w:iCs/>
      <w:color w:val="7F7F7F" w:themeColor="text1" w:themeTint="7F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Book Title"/>
    <w:basedOn w:val="17"/>
    <w:qFormat/>
    <w:uiPriority w:val="33"/>
    <w:rPr>
      <w:b/>
      <w:bCs/>
      <w:smallCaps/>
      <w:spacing w:val="5"/>
    </w:rPr>
  </w:style>
  <w:style w:type="character" w:customStyle="1" w:styleId="48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9">
    <w:name w:val="标题 9 Char"/>
    <w:basedOn w:val="17"/>
    <w:link w:val="10"/>
    <w:qFormat/>
    <w:uiPriority w:val="9"/>
    <w:rPr>
      <w:rFonts w:asciiTheme="majorHAnsi" w:hAnsiTheme="majorHAnsi" w:eastAsiaTheme="majorEastAsia" w:cstheme="majorBid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99D5B-9317-4F45-97DD-14EC6A90C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551</Words>
  <Characters>3143</Characters>
  <Lines>26</Lines>
  <Paragraphs>7</Paragraphs>
  <TotalTime>1979</TotalTime>
  <ScaleCrop>false</ScaleCrop>
  <LinksUpToDate>false</LinksUpToDate>
  <CharactersWithSpaces>3687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2018-07-12T02:26:00Z</dcterms:created>
  <dc:creator>技术中心-杨娜</dc:creator>
  <cp:lastModifiedBy>caffci-zhangpeng</cp:lastModifiedBy>
  <dcterms:modified xsi:type="dcterms:W3CDTF">2018-12-24T01:50:59Z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