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napToGrid w:val="0"/>
        <w:spacing w:line="288" w:lineRule="auto"/>
        <w:rPr>
          <w:rFonts w:ascii="黑体" w:hAnsi="黑体" w:eastAsia="黑体" w:cs="黑体"/>
          <w:sz w:val="84"/>
          <w:szCs w:val="84"/>
        </w:rPr>
      </w:pPr>
      <w:r>
        <w:rPr>
          <w:sz w:val="28"/>
          <w:szCs w:val="28"/>
        </w:rPr>
        <w:t xml:space="preserve">   </w:t>
      </w:r>
      <w:r>
        <w:rPr>
          <w:sz w:val="24"/>
        </w:rPr>
        <w:t xml:space="preserve">                     </w:t>
      </w:r>
    </w:p>
    <w:p>
      <w:pPr>
        <w:adjustRightInd w:val="0"/>
        <w:snapToGrid w:val="0"/>
        <w:spacing w:line="288" w:lineRule="auto"/>
        <w:jc w:val="center"/>
        <w:rPr>
          <w:rFonts w:ascii="黑体" w:hAnsi="黑体" w:eastAsia="黑体" w:cs="黑体"/>
          <w:sz w:val="84"/>
          <w:szCs w:val="84"/>
        </w:rPr>
      </w:pPr>
    </w:p>
    <w:p>
      <w:pPr>
        <w:snapToGrid w:val="0"/>
        <w:spacing w:line="288" w:lineRule="auto"/>
        <w:jc w:val="center"/>
        <w:rPr>
          <w:rFonts w:ascii="黑体" w:hAnsi="黑体" w:eastAsia="黑体" w:cs="黑体"/>
          <w:b/>
          <w:bCs/>
          <w:sz w:val="56"/>
          <w:szCs w:val="56"/>
        </w:rPr>
      </w:pPr>
      <w:r>
        <w:rPr>
          <w:rFonts w:hint="eastAsia" w:ascii="黑体" w:hAnsi="黑体" w:eastAsia="黑体" w:cs="黑体"/>
          <w:b/>
          <w:bCs/>
          <w:sz w:val="56"/>
          <w:szCs w:val="56"/>
        </w:rPr>
        <w:t>化妆品生殖发育毒性试验研究</w:t>
      </w:r>
    </w:p>
    <w:p>
      <w:pPr>
        <w:snapToGrid w:val="0"/>
        <w:spacing w:line="288" w:lineRule="auto"/>
        <w:jc w:val="center"/>
        <w:rPr>
          <w:rFonts w:ascii="黑体" w:hAnsi="黑体" w:eastAsia="黑体" w:cs="黑体"/>
          <w:b/>
          <w:bCs/>
          <w:sz w:val="52"/>
          <w:szCs w:val="52"/>
        </w:rPr>
      </w:pPr>
      <w:r>
        <w:rPr>
          <w:rFonts w:hint="eastAsia" w:ascii="黑体" w:hAnsi="黑体" w:eastAsia="黑体" w:cs="黑体"/>
          <w:b/>
          <w:bCs/>
          <w:sz w:val="56"/>
          <w:szCs w:val="56"/>
        </w:rPr>
        <w:t>技术指导原则</w:t>
      </w:r>
    </w:p>
    <w:p>
      <w:pPr>
        <w:snapToGrid w:val="0"/>
        <w:spacing w:line="288" w:lineRule="auto"/>
        <w:jc w:val="center"/>
        <w:rPr>
          <w:rFonts w:ascii="黑体" w:hAnsi="黑体" w:eastAsia="黑体" w:cs="黑体"/>
          <w:b/>
          <w:bCs/>
          <w:sz w:val="48"/>
          <w:szCs w:val="48"/>
        </w:rPr>
      </w:pPr>
    </w:p>
    <w:p>
      <w:pPr>
        <w:adjustRightInd w:val="0"/>
        <w:snapToGrid w:val="0"/>
        <w:spacing w:line="288" w:lineRule="auto"/>
        <w:jc w:val="center"/>
        <w:rPr>
          <w:rFonts w:ascii="黑体" w:hAnsi="黑体" w:eastAsia="黑体" w:cs="黑体"/>
          <w:b/>
          <w:bCs/>
          <w:sz w:val="52"/>
          <w:szCs w:val="52"/>
        </w:rPr>
      </w:pPr>
    </w:p>
    <w:p>
      <w:pPr>
        <w:snapToGrid w:val="0"/>
        <w:spacing w:line="288" w:lineRule="auto"/>
        <w:jc w:val="center"/>
        <w:rPr>
          <w:rFonts w:ascii="黑体" w:hAnsi="黑体" w:eastAsia="黑体" w:cs="黑体"/>
          <w:b/>
          <w:bCs/>
          <w:sz w:val="48"/>
          <w:szCs w:val="48"/>
        </w:rPr>
      </w:pPr>
    </w:p>
    <w:p>
      <w:pPr>
        <w:adjustRightInd w:val="0"/>
        <w:snapToGrid w:val="0"/>
        <w:spacing w:line="288" w:lineRule="auto"/>
        <w:jc w:val="center"/>
        <w:rPr>
          <w:rFonts w:ascii="黑体" w:hAnsi="黑体" w:eastAsia="黑体" w:cs="黑体"/>
          <w:b/>
          <w:bCs/>
          <w:sz w:val="52"/>
          <w:szCs w:val="52"/>
        </w:rPr>
      </w:pPr>
    </w:p>
    <w:p>
      <w:pPr>
        <w:adjustRightInd w:val="0"/>
        <w:snapToGrid w:val="0"/>
        <w:spacing w:line="288" w:lineRule="auto"/>
        <w:jc w:val="center"/>
        <w:rPr>
          <w:rFonts w:ascii="黑体" w:hAnsi="黑体" w:eastAsia="黑体" w:cs="黑体"/>
          <w:b/>
          <w:bCs/>
          <w:sz w:val="52"/>
          <w:szCs w:val="52"/>
        </w:rPr>
      </w:pPr>
    </w:p>
    <w:p>
      <w:pPr>
        <w:adjustRightInd w:val="0"/>
        <w:snapToGrid w:val="0"/>
        <w:spacing w:line="360" w:lineRule="auto"/>
        <w:jc w:val="center"/>
        <w:rPr>
          <w:rFonts w:ascii="仿宋" w:hAnsi="仿宋" w:eastAsia="仿宋" w:cs="仿宋"/>
          <w:sz w:val="44"/>
          <w:szCs w:val="44"/>
        </w:rPr>
      </w:pPr>
    </w:p>
    <w:p>
      <w:pPr>
        <w:adjustRightInd w:val="0"/>
        <w:snapToGrid w:val="0"/>
        <w:spacing w:line="360" w:lineRule="auto"/>
        <w:jc w:val="center"/>
        <w:rPr>
          <w:rFonts w:ascii="仿宋" w:hAnsi="仿宋" w:eastAsia="仿宋" w:cs="仿宋"/>
          <w:sz w:val="44"/>
          <w:szCs w:val="44"/>
        </w:rPr>
      </w:pPr>
    </w:p>
    <w:p>
      <w:pPr>
        <w:adjustRightInd w:val="0"/>
        <w:snapToGrid w:val="0"/>
        <w:spacing w:line="360" w:lineRule="auto"/>
        <w:jc w:val="center"/>
        <w:rPr>
          <w:rFonts w:ascii="仿宋" w:hAnsi="仿宋" w:eastAsia="仿宋" w:cs="仿宋"/>
          <w:sz w:val="44"/>
          <w:szCs w:val="44"/>
        </w:rPr>
      </w:pPr>
    </w:p>
    <w:p>
      <w:pPr>
        <w:widowControl w:val="0"/>
        <w:snapToGrid w:val="0"/>
        <w:spacing w:line="360" w:lineRule="auto"/>
        <w:jc w:val="both"/>
        <w:rPr>
          <w:rFonts w:eastAsia="楷体"/>
          <w:sz w:val="40"/>
          <w:szCs w:val="40"/>
        </w:rPr>
      </w:pPr>
    </w:p>
    <w:p>
      <w:pPr>
        <w:snapToGrid w:val="0"/>
        <w:spacing w:line="360" w:lineRule="auto"/>
        <w:jc w:val="center"/>
        <w:rPr>
          <w:rFonts w:eastAsia="楷体"/>
          <w:sz w:val="44"/>
          <w:szCs w:val="44"/>
        </w:rPr>
      </w:pPr>
      <w:r>
        <w:rPr>
          <w:rFonts w:eastAsia="楷体"/>
          <w:sz w:val="44"/>
          <w:szCs w:val="44"/>
        </w:rPr>
        <w:t>中国食品药品检定研究院</w:t>
      </w:r>
    </w:p>
    <w:p>
      <w:pPr>
        <w:snapToGrid w:val="0"/>
        <w:spacing w:line="360" w:lineRule="auto"/>
        <w:jc w:val="center"/>
        <w:rPr>
          <w:rFonts w:eastAsia="楷体"/>
          <w:sz w:val="44"/>
          <w:szCs w:val="44"/>
        </w:rPr>
      </w:pPr>
    </w:p>
    <w:p>
      <w:pPr>
        <w:widowControl w:val="0"/>
        <w:jc w:val="center"/>
        <w:rPr>
          <w:rFonts w:ascii="黑体" w:hAnsi="黑体" w:eastAsia="黑体" w:cs="黑体"/>
          <w:b/>
          <w:bCs/>
          <w:sz w:val="30"/>
          <w:szCs w:val="30"/>
        </w:rPr>
      </w:pPr>
      <w:r>
        <w:rPr>
          <w:rFonts w:hint="eastAsia" w:ascii="黑体" w:hAnsi="黑体" w:eastAsia="黑体" w:cs="黑体"/>
          <w:b/>
          <w:bCs/>
          <w:sz w:val="30"/>
          <w:szCs w:val="30"/>
        </w:rPr>
        <w:t>目</w:t>
      </w:r>
      <w:r>
        <w:rPr>
          <w:rFonts w:ascii="黑体" w:hAnsi="黑体" w:eastAsia="黑体" w:cs="黑体"/>
          <w:b/>
          <w:bCs/>
          <w:sz w:val="30"/>
          <w:szCs w:val="30"/>
        </w:rPr>
        <w:t xml:space="preserve">  </w:t>
      </w:r>
      <w:r>
        <w:rPr>
          <w:rFonts w:hint="eastAsia" w:ascii="黑体" w:hAnsi="黑体" w:eastAsia="黑体" w:cs="黑体"/>
          <w:b/>
          <w:bCs/>
          <w:sz w:val="30"/>
          <w:szCs w:val="30"/>
        </w:rPr>
        <w:t>录</w:t>
      </w:r>
    </w:p>
    <w:sdt>
      <w:sdtPr>
        <w:rPr>
          <w:rFonts w:ascii="Times New Roman" w:hAnsi="Times New Roman" w:eastAsia="宋体" w:cs="Times New Roman"/>
          <w:color w:val="auto"/>
          <w:kern w:val="2"/>
          <w:sz w:val="21"/>
          <w:szCs w:val="24"/>
          <w:lang w:val="zh-CN"/>
        </w:rPr>
        <w:id w:val="1371037982"/>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29"/>
            <w:spacing w:line="360" w:lineRule="auto"/>
            <w:rPr>
              <w:color w:val="auto"/>
            </w:rPr>
          </w:pPr>
        </w:p>
        <w:p>
          <w:pPr>
            <w:pStyle w:val="9"/>
            <w:tabs>
              <w:tab w:val="right" w:leader="dot" w:pos="8720"/>
            </w:tabs>
            <w:spacing w:line="360" w:lineRule="auto"/>
            <w:rPr>
              <w:rFonts w:asciiTheme="minorHAnsi" w:hAnsiTheme="minorHAnsi" w:eastAsiaTheme="minorEastAsia" w:cstheme="minorBidi"/>
              <w:sz w:val="22"/>
              <w:szCs w:val="22"/>
            </w:rPr>
          </w:pPr>
          <w:r>
            <w:fldChar w:fldCharType="begin"/>
          </w:r>
          <w:r>
            <w:instrText xml:space="preserve"> TOC \o "1-3" \h \z \u </w:instrText>
          </w:r>
          <w:r>
            <w:fldChar w:fldCharType="separate"/>
          </w:r>
          <w:r>
            <w:fldChar w:fldCharType="begin"/>
          </w:r>
          <w:r>
            <w:instrText xml:space="preserve"> HYPERLINK \l "_Toc150500927" </w:instrText>
          </w:r>
          <w:r>
            <w:fldChar w:fldCharType="separate"/>
          </w:r>
          <w:r>
            <w:rPr>
              <w:rStyle w:val="18"/>
              <w:rFonts w:ascii="黑体" w:hAnsi="黑体" w:eastAsia="黑体" w:cs="黑体"/>
              <w:color w:val="auto"/>
              <w:sz w:val="22"/>
              <w:szCs w:val="22"/>
            </w:rPr>
            <w:t>一、概述</w:t>
          </w:r>
          <w:r>
            <w:rPr>
              <w:sz w:val="22"/>
              <w:szCs w:val="22"/>
            </w:rPr>
            <w:tab/>
          </w:r>
          <w:r>
            <w:rPr>
              <w:sz w:val="22"/>
              <w:szCs w:val="22"/>
            </w:rPr>
            <w:fldChar w:fldCharType="begin"/>
          </w:r>
          <w:r>
            <w:rPr>
              <w:sz w:val="22"/>
              <w:szCs w:val="22"/>
            </w:rPr>
            <w:instrText xml:space="preserve"> PAGEREF _Toc150500927 \h </w:instrText>
          </w:r>
          <w:r>
            <w:rPr>
              <w:sz w:val="22"/>
              <w:szCs w:val="22"/>
            </w:rPr>
            <w:fldChar w:fldCharType="separate"/>
          </w:r>
          <w:r>
            <w:rPr>
              <w:sz w:val="22"/>
              <w:szCs w:val="22"/>
            </w:rPr>
            <w:t>1</w:t>
          </w:r>
          <w:r>
            <w:rPr>
              <w:sz w:val="22"/>
              <w:szCs w:val="22"/>
            </w:rPr>
            <w:fldChar w:fldCharType="end"/>
          </w:r>
          <w:r>
            <w:rPr>
              <w:sz w:val="22"/>
              <w:szCs w:val="22"/>
            </w:rPr>
            <w:fldChar w:fldCharType="end"/>
          </w:r>
        </w:p>
        <w:p>
          <w:pPr>
            <w:pStyle w:val="9"/>
            <w:tabs>
              <w:tab w:val="right" w:leader="dot" w:pos="8720"/>
            </w:tabs>
            <w:spacing w:line="360" w:lineRule="auto"/>
            <w:rPr>
              <w:rFonts w:asciiTheme="minorHAnsi" w:hAnsiTheme="minorHAnsi" w:eastAsiaTheme="minorEastAsia" w:cstheme="minorBidi"/>
              <w:sz w:val="22"/>
              <w:szCs w:val="22"/>
            </w:rPr>
          </w:pPr>
          <w:r>
            <w:fldChar w:fldCharType="begin"/>
          </w:r>
          <w:r>
            <w:instrText xml:space="preserve"> HYPERLINK \l "_Toc150500928" </w:instrText>
          </w:r>
          <w:r>
            <w:fldChar w:fldCharType="separate"/>
          </w:r>
          <w:r>
            <w:rPr>
              <w:rStyle w:val="18"/>
              <w:rFonts w:ascii="黑体" w:hAnsi="黑体" w:eastAsia="黑体" w:cs="黑体"/>
              <w:color w:val="auto"/>
              <w:sz w:val="22"/>
              <w:szCs w:val="22"/>
            </w:rPr>
            <w:t>二、基本原则</w:t>
          </w:r>
          <w:r>
            <w:rPr>
              <w:sz w:val="22"/>
              <w:szCs w:val="22"/>
            </w:rPr>
            <w:tab/>
          </w:r>
          <w:r>
            <w:rPr>
              <w:sz w:val="22"/>
              <w:szCs w:val="22"/>
            </w:rPr>
            <w:fldChar w:fldCharType="begin"/>
          </w:r>
          <w:r>
            <w:rPr>
              <w:sz w:val="22"/>
              <w:szCs w:val="22"/>
            </w:rPr>
            <w:instrText xml:space="preserve"> PAGEREF _Toc150500928 \h </w:instrText>
          </w:r>
          <w:r>
            <w:rPr>
              <w:sz w:val="22"/>
              <w:szCs w:val="22"/>
            </w:rPr>
            <w:fldChar w:fldCharType="separate"/>
          </w:r>
          <w:r>
            <w:rPr>
              <w:sz w:val="22"/>
              <w:szCs w:val="22"/>
            </w:rPr>
            <w:t>1</w:t>
          </w:r>
          <w:r>
            <w:rPr>
              <w:sz w:val="22"/>
              <w:szCs w:val="22"/>
            </w:rPr>
            <w:fldChar w:fldCharType="end"/>
          </w:r>
          <w:r>
            <w:rPr>
              <w:sz w:val="22"/>
              <w:szCs w:val="22"/>
            </w:rPr>
            <w:fldChar w:fldCharType="end"/>
          </w:r>
        </w:p>
        <w:p>
          <w:pPr>
            <w:pStyle w:val="10"/>
            <w:tabs>
              <w:tab w:val="right" w:leader="dot" w:pos="8720"/>
            </w:tabs>
            <w:spacing w:line="360" w:lineRule="auto"/>
            <w:rPr>
              <w:rFonts w:asciiTheme="minorHAnsi" w:hAnsiTheme="minorHAnsi" w:eastAsiaTheme="minorEastAsia" w:cstheme="minorBidi"/>
              <w:sz w:val="22"/>
              <w:szCs w:val="22"/>
            </w:rPr>
          </w:pPr>
          <w:r>
            <w:fldChar w:fldCharType="begin"/>
          </w:r>
          <w:r>
            <w:instrText xml:space="preserve"> HYPERLINK \l "_Toc150500929" </w:instrText>
          </w:r>
          <w:r>
            <w:fldChar w:fldCharType="separate"/>
          </w:r>
          <w:r>
            <w:rPr>
              <w:rStyle w:val="18"/>
              <w:rFonts w:ascii="仿宋" w:hAnsi="仿宋" w:eastAsia="仿宋" w:cs="仿宋"/>
              <w:color w:val="auto"/>
              <w:sz w:val="22"/>
              <w:szCs w:val="22"/>
            </w:rPr>
            <w:t>（一）一般原则</w:t>
          </w:r>
          <w:r>
            <w:rPr>
              <w:sz w:val="22"/>
              <w:szCs w:val="22"/>
            </w:rPr>
            <w:tab/>
          </w:r>
          <w:r>
            <w:rPr>
              <w:sz w:val="22"/>
              <w:szCs w:val="22"/>
            </w:rPr>
            <w:fldChar w:fldCharType="begin"/>
          </w:r>
          <w:r>
            <w:rPr>
              <w:sz w:val="22"/>
              <w:szCs w:val="22"/>
            </w:rPr>
            <w:instrText xml:space="preserve"> PAGEREF _Toc150500929 \h </w:instrText>
          </w:r>
          <w:r>
            <w:rPr>
              <w:sz w:val="22"/>
              <w:szCs w:val="22"/>
            </w:rPr>
            <w:fldChar w:fldCharType="separate"/>
          </w:r>
          <w:r>
            <w:rPr>
              <w:sz w:val="22"/>
              <w:szCs w:val="22"/>
            </w:rPr>
            <w:t>2</w:t>
          </w:r>
          <w:r>
            <w:rPr>
              <w:sz w:val="22"/>
              <w:szCs w:val="22"/>
            </w:rPr>
            <w:fldChar w:fldCharType="end"/>
          </w:r>
          <w:r>
            <w:rPr>
              <w:sz w:val="22"/>
              <w:szCs w:val="22"/>
            </w:rPr>
            <w:fldChar w:fldCharType="end"/>
          </w:r>
        </w:p>
        <w:p>
          <w:pPr>
            <w:pStyle w:val="10"/>
            <w:tabs>
              <w:tab w:val="right" w:leader="dot" w:pos="8720"/>
            </w:tabs>
            <w:spacing w:line="360" w:lineRule="auto"/>
            <w:rPr>
              <w:rFonts w:asciiTheme="minorHAnsi" w:hAnsiTheme="minorHAnsi" w:eastAsiaTheme="minorEastAsia" w:cstheme="minorBidi"/>
              <w:sz w:val="22"/>
              <w:szCs w:val="22"/>
            </w:rPr>
          </w:pPr>
          <w:r>
            <w:fldChar w:fldCharType="begin"/>
          </w:r>
          <w:r>
            <w:instrText xml:space="preserve"> HYPERLINK \l "_Toc150500930" </w:instrText>
          </w:r>
          <w:r>
            <w:fldChar w:fldCharType="separate"/>
          </w:r>
          <w:r>
            <w:rPr>
              <w:rStyle w:val="18"/>
              <w:rFonts w:ascii="仿宋" w:hAnsi="仿宋" w:eastAsia="仿宋" w:cs="仿宋"/>
              <w:color w:val="auto"/>
              <w:sz w:val="22"/>
              <w:szCs w:val="22"/>
            </w:rPr>
            <w:t>（二）试验研究策略</w:t>
          </w:r>
          <w:r>
            <w:rPr>
              <w:sz w:val="22"/>
              <w:szCs w:val="22"/>
            </w:rPr>
            <w:tab/>
          </w:r>
          <w:r>
            <w:rPr>
              <w:sz w:val="22"/>
              <w:szCs w:val="22"/>
            </w:rPr>
            <w:fldChar w:fldCharType="begin"/>
          </w:r>
          <w:r>
            <w:rPr>
              <w:sz w:val="22"/>
              <w:szCs w:val="22"/>
            </w:rPr>
            <w:instrText xml:space="preserve"> PAGEREF _Toc150500930 \h </w:instrText>
          </w:r>
          <w:r>
            <w:rPr>
              <w:sz w:val="22"/>
              <w:szCs w:val="22"/>
            </w:rPr>
            <w:fldChar w:fldCharType="separate"/>
          </w:r>
          <w:r>
            <w:rPr>
              <w:sz w:val="22"/>
              <w:szCs w:val="22"/>
            </w:rPr>
            <w:t>2</w:t>
          </w:r>
          <w:r>
            <w:rPr>
              <w:sz w:val="22"/>
              <w:szCs w:val="22"/>
            </w:rPr>
            <w:fldChar w:fldCharType="end"/>
          </w:r>
          <w:r>
            <w:rPr>
              <w:sz w:val="22"/>
              <w:szCs w:val="22"/>
            </w:rPr>
            <w:fldChar w:fldCharType="end"/>
          </w:r>
        </w:p>
        <w:p>
          <w:pPr>
            <w:pStyle w:val="9"/>
            <w:tabs>
              <w:tab w:val="right" w:leader="dot" w:pos="8720"/>
            </w:tabs>
            <w:spacing w:line="360" w:lineRule="auto"/>
            <w:rPr>
              <w:rFonts w:asciiTheme="minorHAnsi" w:hAnsiTheme="minorHAnsi" w:eastAsiaTheme="minorEastAsia" w:cstheme="minorBidi"/>
              <w:sz w:val="22"/>
              <w:szCs w:val="22"/>
            </w:rPr>
          </w:pPr>
          <w:r>
            <w:fldChar w:fldCharType="begin"/>
          </w:r>
          <w:r>
            <w:instrText xml:space="preserve"> HYPERLINK \l "_Toc150500931" </w:instrText>
          </w:r>
          <w:r>
            <w:fldChar w:fldCharType="separate"/>
          </w:r>
          <w:r>
            <w:rPr>
              <w:rStyle w:val="18"/>
              <w:rFonts w:ascii="黑体" w:hAnsi="黑体" w:eastAsia="黑体" w:cs="黑体"/>
              <w:color w:val="auto"/>
              <w:sz w:val="22"/>
              <w:szCs w:val="22"/>
            </w:rPr>
            <w:t>三、基本内容</w:t>
          </w:r>
          <w:r>
            <w:rPr>
              <w:sz w:val="22"/>
              <w:szCs w:val="22"/>
            </w:rPr>
            <w:tab/>
          </w:r>
          <w:r>
            <w:rPr>
              <w:sz w:val="22"/>
              <w:szCs w:val="22"/>
            </w:rPr>
            <w:fldChar w:fldCharType="begin"/>
          </w:r>
          <w:r>
            <w:rPr>
              <w:sz w:val="22"/>
              <w:szCs w:val="22"/>
            </w:rPr>
            <w:instrText xml:space="preserve"> PAGEREF _Toc150500931 \h </w:instrText>
          </w:r>
          <w:r>
            <w:rPr>
              <w:sz w:val="22"/>
              <w:szCs w:val="22"/>
            </w:rPr>
            <w:fldChar w:fldCharType="separate"/>
          </w:r>
          <w:r>
            <w:rPr>
              <w:sz w:val="22"/>
              <w:szCs w:val="22"/>
            </w:rPr>
            <w:t>3</w:t>
          </w:r>
          <w:r>
            <w:rPr>
              <w:sz w:val="22"/>
              <w:szCs w:val="22"/>
            </w:rPr>
            <w:fldChar w:fldCharType="end"/>
          </w:r>
          <w:r>
            <w:rPr>
              <w:sz w:val="22"/>
              <w:szCs w:val="22"/>
            </w:rPr>
            <w:fldChar w:fldCharType="end"/>
          </w:r>
        </w:p>
        <w:p>
          <w:pPr>
            <w:pStyle w:val="10"/>
            <w:tabs>
              <w:tab w:val="right" w:leader="dot" w:pos="8720"/>
            </w:tabs>
            <w:spacing w:line="360" w:lineRule="auto"/>
            <w:rPr>
              <w:rFonts w:asciiTheme="minorHAnsi" w:hAnsiTheme="minorHAnsi" w:eastAsiaTheme="minorEastAsia" w:cstheme="minorBidi"/>
              <w:sz w:val="22"/>
              <w:szCs w:val="22"/>
            </w:rPr>
          </w:pPr>
          <w:r>
            <w:fldChar w:fldCharType="begin"/>
          </w:r>
          <w:r>
            <w:instrText xml:space="preserve"> HYPERLINK \l "_Toc150500932" </w:instrText>
          </w:r>
          <w:r>
            <w:fldChar w:fldCharType="separate"/>
          </w:r>
          <w:r>
            <w:rPr>
              <w:rStyle w:val="18"/>
              <w:rFonts w:hint="eastAsia" w:eastAsia="仿宋"/>
              <w:bCs/>
              <w:color w:val="auto"/>
              <w:sz w:val="22"/>
              <w:szCs w:val="22"/>
            </w:rPr>
            <w:t>（一）受试物</w:t>
          </w:r>
          <w:r>
            <w:rPr>
              <w:sz w:val="22"/>
              <w:szCs w:val="22"/>
            </w:rPr>
            <w:tab/>
          </w:r>
          <w:r>
            <w:rPr>
              <w:sz w:val="22"/>
              <w:szCs w:val="22"/>
            </w:rPr>
            <w:fldChar w:fldCharType="begin"/>
          </w:r>
          <w:r>
            <w:rPr>
              <w:sz w:val="22"/>
              <w:szCs w:val="22"/>
            </w:rPr>
            <w:instrText xml:space="preserve"> PAGEREF _Toc150500932 \h </w:instrText>
          </w:r>
          <w:r>
            <w:rPr>
              <w:sz w:val="22"/>
              <w:szCs w:val="22"/>
            </w:rPr>
            <w:fldChar w:fldCharType="separate"/>
          </w:r>
          <w:r>
            <w:rPr>
              <w:sz w:val="22"/>
              <w:szCs w:val="22"/>
            </w:rPr>
            <w:t>3</w:t>
          </w:r>
          <w:r>
            <w:rPr>
              <w:sz w:val="22"/>
              <w:szCs w:val="22"/>
            </w:rPr>
            <w:fldChar w:fldCharType="end"/>
          </w:r>
          <w:r>
            <w:rPr>
              <w:sz w:val="22"/>
              <w:szCs w:val="22"/>
            </w:rPr>
            <w:fldChar w:fldCharType="end"/>
          </w:r>
        </w:p>
        <w:p>
          <w:pPr>
            <w:pStyle w:val="10"/>
            <w:tabs>
              <w:tab w:val="right" w:leader="dot" w:pos="8720"/>
            </w:tabs>
            <w:spacing w:line="360" w:lineRule="auto"/>
            <w:rPr>
              <w:rFonts w:asciiTheme="minorHAnsi" w:hAnsiTheme="minorHAnsi" w:eastAsiaTheme="minorEastAsia" w:cstheme="minorBidi"/>
              <w:sz w:val="22"/>
              <w:szCs w:val="22"/>
            </w:rPr>
          </w:pPr>
          <w:r>
            <w:fldChar w:fldCharType="begin"/>
          </w:r>
          <w:r>
            <w:instrText xml:space="preserve"> HYPERLINK \l "_Toc150500933" </w:instrText>
          </w:r>
          <w:r>
            <w:fldChar w:fldCharType="separate"/>
          </w:r>
          <w:r>
            <w:rPr>
              <w:rStyle w:val="18"/>
              <w:rFonts w:ascii="仿宋" w:hAnsi="仿宋" w:eastAsia="仿宋" w:cs="仿宋"/>
              <w:bCs/>
              <w:color w:val="auto"/>
              <w:sz w:val="22"/>
              <w:szCs w:val="22"/>
              <w:lang w:bidi="ar"/>
            </w:rPr>
            <w:t>（二）暴露方式</w:t>
          </w:r>
          <w:r>
            <w:rPr>
              <w:sz w:val="22"/>
              <w:szCs w:val="22"/>
            </w:rPr>
            <w:tab/>
          </w:r>
          <w:r>
            <w:rPr>
              <w:sz w:val="22"/>
              <w:szCs w:val="22"/>
            </w:rPr>
            <w:fldChar w:fldCharType="begin"/>
          </w:r>
          <w:r>
            <w:rPr>
              <w:sz w:val="22"/>
              <w:szCs w:val="22"/>
            </w:rPr>
            <w:instrText xml:space="preserve"> PAGEREF _Toc150500933 \h </w:instrText>
          </w:r>
          <w:r>
            <w:rPr>
              <w:sz w:val="22"/>
              <w:szCs w:val="22"/>
            </w:rPr>
            <w:fldChar w:fldCharType="separate"/>
          </w:r>
          <w:r>
            <w:rPr>
              <w:sz w:val="22"/>
              <w:szCs w:val="22"/>
            </w:rPr>
            <w:t>3</w:t>
          </w:r>
          <w:r>
            <w:rPr>
              <w:sz w:val="22"/>
              <w:szCs w:val="22"/>
            </w:rPr>
            <w:fldChar w:fldCharType="end"/>
          </w:r>
          <w:r>
            <w:rPr>
              <w:sz w:val="22"/>
              <w:szCs w:val="22"/>
            </w:rPr>
            <w:fldChar w:fldCharType="end"/>
          </w:r>
        </w:p>
        <w:p>
          <w:pPr>
            <w:pStyle w:val="10"/>
            <w:tabs>
              <w:tab w:val="right" w:leader="dot" w:pos="8720"/>
            </w:tabs>
            <w:spacing w:line="360" w:lineRule="auto"/>
            <w:rPr>
              <w:rFonts w:asciiTheme="minorHAnsi" w:hAnsiTheme="minorHAnsi" w:eastAsiaTheme="minorEastAsia" w:cstheme="minorBidi"/>
              <w:sz w:val="22"/>
              <w:szCs w:val="22"/>
            </w:rPr>
          </w:pPr>
          <w:r>
            <w:fldChar w:fldCharType="begin"/>
          </w:r>
          <w:r>
            <w:instrText xml:space="preserve"> HYPERLINK \l "_Toc150500934" </w:instrText>
          </w:r>
          <w:r>
            <w:fldChar w:fldCharType="separate"/>
          </w:r>
          <w:r>
            <w:rPr>
              <w:rStyle w:val="18"/>
              <w:rFonts w:ascii="仿宋" w:hAnsi="仿宋" w:eastAsia="仿宋" w:cs="仿宋"/>
              <w:bCs/>
              <w:color w:val="auto"/>
              <w:sz w:val="22"/>
              <w:szCs w:val="22"/>
              <w:lang w:bidi="ar"/>
            </w:rPr>
            <w:t>（三）实验动物</w:t>
          </w:r>
          <w:r>
            <w:rPr>
              <w:sz w:val="22"/>
              <w:szCs w:val="22"/>
            </w:rPr>
            <w:tab/>
          </w:r>
          <w:r>
            <w:rPr>
              <w:sz w:val="22"/>
              <w:szCs w:val="22"/>
            </w:rPr>
            <w:fldChar w:fldCharType="begin"/>
          </w:r>
          <w:r>
            <w:rPr>
              <w:sz w:val="22"/>
              <w:szCs w:val="22"/>
            </w:rPr>
            <w:instrText xml:space="preserve"> PAGEREF _Toc150500934 \h </w:instrText>
          </w:r>
          <w:r>
            <w:rPr>
              <w:sz w:val="22"/>
              <w:szCs w:val="22"/>
            </w:rPr>
            <w:fldChar w:fldCharType="separate"/>
          </w:r>
          <w:r>
            <w:rPr>
              <w:sz w:val="22"/>
              <w:szCs w:val="22"/>
            </w:rPr>
            <w:t>4</w:t>
          </w:r>
          <w:r>
            <w:rPr>
              <w:sz w:val="22"/>
              <w:szCs w:val="22"/>
            </w:rPr>
            <w:fldChar w:fldCharType="end"/>
          </w:r>
          <w:r>
            <w:rPr>
              <w:sz w:val="22"/>
              <w:szCs w:val="22"/>
            </w:rPr>
            <w:fldChar w:fldCharType="end"/>
          </w:r>
        </w:p>
        <w:p>
          <w:pPr>
            <w:pStyle w:val="10"/>
            <w:tabs>
              <w:tab w:val="right" w:leader="dot" w:pos="8720"/>
            </w:tabs>
            <w:spacing w:line="360" w:lineRule="auto"/>
            <w:rPr>
              <w:rFonts w:asciiTheme="minorHAnsi" w:hAnsiTheme="minorHAnsi" w:eastAsiaTheme="minorEastAsia" w:cstheme="minorBidi"/>
              <w:sz w:val="22"/>
              <w:szCs w:val="22"/>
            </w:rPr>
          </w:pPr>
          <w:r>
            <w:fldChar w:fldCharType="begin"/>
          </w:r>
          <w:r>
            <w:instrText xml:space="preserve"> HYPERLINK \l "_Toc150500935" </w:instrText>
          </w:r>
          <w:r>
            <w:fldChar w:fldCharType="separate"/>
          </w:r>
          <w:r>
            <w:rPr>
              <w:rStyle w:val="18"/>
              <w:rFonts w:ascii="仿宋" w:hAnsi="仿宋" w:eastAsia="仿宋" w:cs="仿宋"/>
              <w:bCs/>
              <w:color w:val="auto"/>
              <w:sz w:val="22"/>
              <w:szCs w:val="22"/>
            </w:rPr>
            <w:t>（四）剂量设计与分组</w:t>
          </w:r>
          <w:r>
            <w:rPr>
              <w:sz w:val="22"/>
              <w:szCs w:val="22"/>
            </w:rPr>
            <w:tab/>
          </w:r>
          <w:r>
            <w:rPr>
              <w:sz w:val="22"/>
              <w:szCs w:val="22"/>
            </w:rPr>
            <w:fldChar w:fldCharType="begin"/>
          </w:r>
          <w:r>
            <w:rPr>
              <w:sz w:val="22"/>
              <w:szCs w:val="22"/>
            </w:rPr>
            <w:instrText xml:space="preserve"> PAGEREF _Toc150500935 \h </w:instrText>
          </w:r>
          <w:r>
            <w:rPr>
              <w:sz w:val="22"/>
              <w:szCs w:val="22"/>
            </w:rPr>
            <w:fldChar w:fldCharType="separate"/>
          </w:r>
          <w:r>
            <w:rPr>
              <w:sz w:val="22"/>
              <w:szCs w:val="22"/>
            </w:rPr>
            <w:t>4</w:t>
          </w:r>
          <w:r>
            <w:rPr>
              <w:sz w:val="22"/>
              <w:szCs w:val="22"/>
            </w:rPr>
            <w:fldChar w:fldCharType="end"/>
          </w:r>
          <w:r>
            <w:rPr>
              <w:sz w:val="22"/>
              <w:szCs w:val="22"/>
            </w:rPr>
            <w:fldChar w:fldCharType="end"/>
          </w:r>
        </w:p>
        <w:p>
          <w:pPr>
            <w:pStyle w:val="10"/>
            <w:tabs>
              <w:tab w:val="right" w:leader="dot" w:pos="8720"/>
            </w:tabs>
            <w:spacing w:line="360" w:lineRule="auto"/>
            <w:rPr>
              <w:rFonts w:asciiTheme="minorHAnsi" w:hAnsiTheme="minorHAnsi" w:eastAsiaTheme="minorEastAsia" w:cstheme="minorBidi"/>
              <w:sz w:val="22"/>
              <w:szCs w:val="22"/>
            </w:rPr>
          </w:pPr>
          <w:r>
            <w:fldChar w:fldCharType="begin"/>
          </w:r>
          <w:r>
            <w:instrText xml:space="preserve"> HYPERLINK \l "_Toc150500936" </w:instrText>
          </w:r>
          <w:r>
            <w:fldChar w:fldCharType="separate"/>
          </w:r>
          <w:r>
            <w:rPr>
              <w:rStyle w:val="18"/>
              <w:rFonts w:ascii="仿宋" w:hAnsi="仿宋" w:eastAsia="仿宋" w:cs="仿宋"/>
              <w:bCs/>
              <w:color w:val="auto"/>
              <w:sz w:val="22"/>
              <w:szCs w:val="22"/>
            </w:rPr>
            <w:t>（五）试验设计</w:t>
          </w:r>
          <w:r>
            <w:rPr>
              <w:sz w:val="22"/>
              <w:szCs w:val="22"/>
            </w:rPr>
            <w:tab/>
          </w:r>
          <w:r>
            <w:rPr>
              <w:rFonts w:hint="eastAsia"/>
              <w:sz w:val="22"/>
              <w:szCs w:val="22"/>
              <w:lang w:val="en-US" w:eastAsia="zh-CN"/>
            </w:rPr>
            <w:t>5</w:t>
          </w:r>
          <w:r>
            <w:rPr>
              <w:sz w:val="22"/>
              <w:szCs w:val="22"/>
            </w:rPr>
            <w:fldChar w:fldCharType="end"/>
          </w:r>
        </w:p>
        <w:p>
          <w:pPr>
            <w:pStyle w:val="10"/>
            <w:tabs>
              <w:tab w:val="right" w:leader="dot" w:pos="8720"/>
            </w:tabs>
            <w:spacing w:line="360" w:lineRule="auto"/>
            <w:rPr>
              <w:rFonts w:asciiTheme="minorHAnsi" w:hAnsiTheme="minorHAnsi" w:eastAsiaTheme="minorEastAsia" w:cstheme="minorBidi"/>
              <w:sz w:val="22"/>
              <w:szCs w:val="22"/>
            </w:rPr>
          </w:pPr>
          <w:r>
            <w:fldChar w:fldCharType="begin"/>
          </w:r>
          <w:r>
            <w:instrText xml:space="preserve"> HYPERLINK \l "_Toc150500937" </w:instrText>
          </w:r>
          <w:r>
            <w:fldChar w:fldCharType="separate"/>
          </w:r>
          <w:r>
            <w:rPr>
              <w:rStyle w:val="18"/>
              <w:rFonts w:ascii="仿宋" w:hAnsi="仿宋" w:eastAsia="仿宋" w:cs="仿宋"/>
              <w:bCs/>
              <w:color w:val="auto"/>
              <w:sz w:val="22"/>
              <w:szCs w:val="22"/>
            </w:rPr>
            <w:t>（六）观察指标</w:t>
          </w:r>
          <w:r>
            <w:rPr>
              <w:sz w:val="22"/>
              <w:szCs w:val="22"/>
            </w:rPr>
            <w:tab/>
          </w:r>
          <w:r>
            <w:rPr>
              <w:rFonts w:hint="eastAsia"/>
              <w:sz w:val="22"/>
              <w:szCs w:val="22"/>
              <w:lang w:val="en-US" w:eastAsia="zh-CN"/>
            </w:rPr>
            <w:t>6</w:t>
          </w:r>
          <w:r>
            <w:rPr>
              <w:sz w:val="22"/>
              <w:szCs w:val="22"/>
            </w:rPr>
            <w:fldChar w:fldCharType="end"/>
          </w:r>
        </w:p>
        <w:p>
          <w:pPr>
            <w:pStyle w:val="9"/>
            <w:tabs>
              <w:tab w:val="right" w:leader="dot" w:pos="8720"/>
            </w:tabs>
            <w:spacing w:line="360" w:lineRule="auto"/>
            <w:rPr>
              <w:rFonts w:asciiTheme="minorHAnsi" w:hAnsiTheme="minorHAnsi" w:eastAsiaTheme="minorEastAsia" w:cstheme="minorBidi"/>
              <w:sz w:val="22"/>
              <w:szCs w:val="22"/>
            </w:rPr>
          </w:pPr>
          <w:r>
            <w:fldChar w:fldCharType="begin"/>
          </w:r>
          <w:r>
            <w:instrText xml:space="preserve"> HYPERLINK \l "_Toc150500938" </w:instrText>
          </w:r>
          <w:r>
            <w:fldChar w:fldCharType="separate"/>
          </w:r>
          <w:r>
            <w:rPr>
              <w:rStyle w:val="18"/>
              <w:rFonts w:ascii="黑体" w:hAnsi="黑体" w:eastAsia="黑体" w:cs="黑体"/>
              <w:color w:val="auto"/>
              <w:sz w:val="22"/>
              <w:szCs w:val="22"/>
            </w:rPr>
            <w:t>四、结果分析与评价</w:t>
          </w:r>
          <w:r>
            <w:rPr>
              <w:sz w:val="22"/>
              <w:szCs w:val="22"/>
            </w:rPr>
            <w:tab/>
          </w:r>
          <w:r>
            <w:rPr>
              <w:sz w:val="22"/>
              <w:szCs w:val="22"/>
            </w:rPr>
            <w:fldChar w:fldCharType="begin"/>
          </w:r>
          <w:r>
            <w:rPr>
              <w:sz w:val="22"/>
              <w:szCs w:val="22"/>
            </w:rPr>
            <w:instrText xml:space="preserve"> PAGEREF _Toc150500938 \h </w:instrText>
          </w:r>
          <w:r>
            <w:rPr>
              <w:sz w:val="22"/>
              <w:szCs w:val="22"/>
            </w:rPr>
            <w:fldChar w:fldCharType="separate"/>
          </w:r>
          <w:r>
            <w:rPr>
              <w:sz w:val="22"/>
              <w:szCs w:val="22"/>
            </w:rPr>
            <w:t>8</w:t>
          </w:r>
          <w:r>
            <w:rPr>
              <w:sz w:val="22"/>
              <w:szCs w:val="22"/>
            </w:rPr>
            <w:fldChar w:fldCharType="end"/>
          </w:r>
          <w:r>
            <w:rPr>
              <w:sz w:val="22"/>
              <w:szCs w:val="22"/>
            </w:rPr>
            <w:fldChar w:fldCharType="end"/>
          </w:r>
        </w:p>
        <w:p>
          <w:pPr>
            <w:pStyle w:val="9"/>
            <w:tabs>
              <w:tab w:val="right" w:leader="dot" w:pos="8720"/>
            </w:tabs>
            <w:spacing w:line="360" w:lineRule="auto"/>
            <w:rPr>
              <w:rFonts w:asciiTheme="minorHAnsi" w:hAnsiTheme="minorHAnsi" w:eastAsiaTheme="minorEastAsia" w:cstheme="minorBidi"/>
              <w:sz w:val="22"/>
              <w:szCs w:val="22"/>
            </w:rPr>
          </w:pPr>
          <w:r>
            <w:fldChar w:fldCharType="begin"/>
          </w:r>
          <w:r>
            <w:instrText xml:space="preserve"> HYPERLINK \l "_Toc150500939" </w:instrText>
          </w:r>
          <w:r>
            <w:fldChar w:fldCharType="separate"/>
          </w:r>
          <w:r>
            <w:rPr>
              <w:rStyle w:val="18"/>
              <w:rFonts w:ascii="黑体" w:hAnsi="黑体" w:eastAsia="黑体" w:cs="黑体"/>
              <w:color w:val="auto"/>
              <w:sz w:val="22"/>
              <w:szCs w:val="22"/>
            </w:rPr>
            <w:t>五、参考文献</w:t>
          </w:r>
          <w:r>
            <w:rPr>
              <w:sz w:val="22"/>
              <w:szCs w:val="22"/>
            </w:rPr>
            <w:tab/>
          </w:r>
          <w:r>
            <w:rPr>
              <w:sz w:val="22"/>
              <w:szCs w:val="22"/>
            </w:rPr>
            <w:fldChar w:fldCharType="begin"/>
          </w:r>
          <w:r>
            <w:rPr>
              <w:sz w:val="22"/>
              <w:szCs w:val="22"/>
            </w:rPr>
            <w:instrText xml:space="preserve"> PAGEREF _Toc150500939 \h </w:instrText>
          </w:r>
          <w:r>
            <w:rPr>
              <w:sz w:val="22"/>
              <w:szCs w:val="22"/>
            </w:rPr>
            <w:fldChar w:fldCharType="separate"/>
          </w:r>
          <w:r>
            <w:rPr>
              <w:sz w:val="22"/>
              <w:szCs w:val="22"/>
            </w:rPr>
            <w:t>8</w:t>
          </w:r>
          <w:r>
            <w:rPr>
              <w:sz w:val="22"/>
              <w:szCs w:val="22"/>
            </w:rPr>
            <w:fldChar w:fldCharType="end"/>
          </w:r>
          <w:r>
            <w:rPr>
              <w:sz w:val="22"/>
              <w:szCs w:val="22"/>
            </w:rPr>
            <w:fldChar w:fldCharType="end"/>
          </w:r>
        </w:p>
        <w:p>
          <w:pPr>
            <w:pStyle w:val="9"/>
            <w:tabs>
              <w:tab w:val="right" w:leader="dot" w:pos="8720"/>
            </w:tabs>
            <w:spacing w:line="360" w:lineRule="auto"/>
            <w:rPr>
              <w:rFonts w:asciiTheme="minorHAnsi" w:hAnsiTheme="minorHAnsi" w:eastAsiaTheme="minorEastAsia" w:cstheme="minorBidi"/>
              <w:sz w:val="22"/>
              <w:szCs w:val="22"/>
            </w:rPr>
          </w:pPr>
          <w:r>
            <w:fldChar w:fldCharType="begin"/>
          </w:r>
          <w:r>
            <w:instrText xml:space="preserve"> HYPERLINK \l "_Toc150500940" </w:instrText>
          </w:r>
          <w:r>
            <w:fldChar w:fldCharType="separate"/>
          </w:r>
          <w:r>
            <w:rPr>
              <w:rStyle w:val="18"/>
              <w:rFonts w:ascii="黑体" w:hAnsi="黑体" w:eastAsia="黑体" w:cs="黑体"/>
              <w:color w:val="auto"/>
              <w:sz w:val="22"/>
              <w:szCs w:val="22"/>
            </w:rPr>
            <w:t>六、术语和释义</w:t>
          </w:r>
          <w:r>
            <w:rPr>
              <w:sz w:val="22"/>
              <w:szCs w:val="22"/>
            </w:rPr>
            <w:tab/>
          </w:r>
          <w:r>
            <w:rPr>
              <w:sz w:val="22"/>
              <w:szCs w:val="22"/>
            </w:rPr>
            <w:fldChar w:fldCharType="begin"/>
          </w:r>
          <w:r>
            <w:rPr>
              <w:sz w:val="22"/>
              <w:szCs w:val="22"/>
            </w:rPr>
            <w:instrText xml:space="preserve"> PAGEREF _Toc150500940 \h </w:instrText>
          </w:r>
          <w:r>
            <w:rPr>
              <w:sz w:val="22"/>
              <w:szCs w:val="22"/>
            </w:rPr>
            <w:fldChar w:fldCharType="separate"/>
          </w:r>
          <w:r>
            <w:rPr>
              <w:sz w:val="22"/>
              <w:szCs w:val="22"/>
            </w:rPr>
            <w:t>10</w:t>
          </w:r>
          <w:r>
            <w:rPr>
              <w:sz w:val="22"/>
              <w:szCs w:val="22"/>
            </w:rPr>
            <w:fldChar w:fldCharType="end"/>
          </w:r>
          <w:r>
            <w:rPr>
              <w:sz w:val="22"/>
              <w:szCs w:val="22"/>
            </w:rPr>
            <w:fldChar w:fldCharType="end"/>
          </w:r>
        </w:p>
        <w:p>
          <w:pPr>
            <w:spacing w:line="360" w:lineRule="auto"/>
          </w:pPr>
          <w:r>
            <w:rPr>
              <w:b/>
              <w:bCs/>
              <w:lang w:val="zh-CN"/>
            </w:rPr>
            <w:fldChar w:fldCharType="end"/>
          </w:r>
        </w:p>
      </w:sdtContent>
    </w:sdt>
    <w:p>
      <w:pPr>
        <w:pStyle w:val="9"/>
        <w:tabs>
          <w:tab w:val="right" w:leader="dot" w:pos="8306"/>
        </w:tabs>
        <w:spacing w:after="100" w:line="259" w:lineRule="auto"/>
        <w:rPr>
          <w:rFonts w:ascii="仿宋" w:hAnsi="仿宋" w:eastAsia="仿宋" w:cs="仿宋"/>
          <w:bCs/>
          <w:sz w:val="28"/>
          <w:szCs w:val="28"/>
        </w:rPr>
      </w:pPr>
    </w:p>
    <w:p/>
    <w:p>
      <w:bookmarkStart w:id="195" w:name="_GoBack"/>
      <w:bookmarkEnd w:id="195"/>
    </w:p>
    <w:p>
      <w:pPr>
        <w:pStyle w:val="9"/>
        <w:tabs>
          <w:tab w:val="left" w:pos="2496"/>
        </w:tabs>
        <w:rPr>
          <w:rFonts w:ascii="仿宋" w:hAnsi="仿宋" w:eastAsia="仿宋" w:cs="仿宋"/>
          <w:bCs/>
          <w:sz w:val="28"/>
          <w:szCs w:val="28"/>
        </w:rPr>
      </w:pPr>
      <w:r>
        <w:rPr>
          <w:rFonts w:ascii="仿宋" w:hAnsi="仿宋" w:eastAsia="仿宋" w:cs="仿宋"/>
          <w:bCs/>
          <w:sz w:val="28"/>
          <w:szCs w:val="28"/>
        </w:rPr>
        <w:tab/>
      </w:r>
    </w:p>
    <w:p>
      <w:pPr>
        <w:tabs>
          <w:tab w:val="left" w:pos="2496"/>
        </w:tabs>
        <w:sectPr>
          <w:footerReference r:id="rId3" w:type="default"/>
          <w:footerReference r:id="rId4" w:type="even"/>
          <w:pgSz w:w="11906" w:h="16838"/>
          <w:pgMar w:top="1758" w:right="1588" w:bottom="1440" w:left="1588" w:header="851" w:footer="992" w:gutter="0"/>
          <w:cols w:space="720" w:num="1"/>
          <w:titlePg/>
          <w:docGrid w:type="lines" w:linePitch="312" w:charSpace="0"/>
        </w:sectPr>
      </w:pPr>
      <w:r>
        <w:tab/>
      </w:r>
    </w:p>
    <w:p>
      <w:pPr>
        <w:widowControl w:val="0"/>
        <w:autoSpaceDE w:val="0"/>
        <w:autoSpaceDN w:val="0"/>
        <w:adjustRightInd w:val="0"/>
        <w:spacing w:line="360" w:lineRule="auto"/>
        <w:ind w:firstLine="640" w:firstLineChars="200"/>
        <w:jc w:val="both"/>
        <w:outlineLvl w:val="0"/>
        <w:rPr>
          <w:rFonts w:ascii="黑体" w:hAnsi="黑体" w:eastAsia="黑体" w:cs="黑体"/>
          <w:sz w:val="32"/>
          <w:szCs w:val="32"/>
        </w:rPr>
      </w:pPr>
      <w:bookmarkStart w:id="0" w:name="_Toc10929"/>
      <w:bookmarkStart w:id="1" w:name="_Toc150500927"/>
      <w:bookmarkStart w:id="2" w:name="_Toc23211"/>
      <w:bookmarkStart w:id="3" w:name="_Toc5946"/>
      <w:bookmarkStart w:id="4" w:name="_Toc12677"/>
      <w:bookmarkStart w:id="5" w:name="_Toc13190"/>
      <w:bookmarkStart w:id="6" w:name="_Toc13669"/>
      <w:bookmarkStart w:id="7" w:name="_Toc144629256"/>
      <w:bookmarkStart w:id="8" w:name="_Toc7591"/>
      <w:r>
        <w:rPr>
          <w:rFonts w:hint="eastAsia" w:ascii="黑体" w:hAnsi="黑体" w:eastAsia="黑体" w:cs="黑体"/>
          <w:sz w:val="32"/>
          <w:szCs w:val="32"/>
        </w:rPr>
        <w:t>一、概述</w:t>
      </w:r>
      <w:bookmarkEnd w:id="0"/>
      <w:bookmarkEnd w:id="1"/>
      <w:bookmarkEnd w:id="2"/>
      <w:bookmarkEnd w:id="3"/>
      <w:bookmarkEnd w:id="4"/>
      <w:bookmarkEnd w:id="5"/>
      <w:bookmarkEnd w:id="6"/>
      <w:bookmarkEnd w:id="7"/>
      <w:bookmarkEnd w:id="8"/>
    </w:p>
    <w:p>
      <w:pPr>
        <w:ind w:firstLine="640" w:firstLineChars="200"/>
        <w:rPr>
          <w:rFonts w:ascii="仿宋" w:hAnsi="仿宋" w:eastAsia="仿宋" w:cs="仿宋"/>
          <w:sz w:val="32"/>
          <w:szCs w:val="32"/>
        </w:rPr>
      </w:pPr>
      <w:r>
        <w:rPr>
          <w:rFonts w:hint="eastAsia" w:ascii="仿宋" w:hAnsi="仿宋" w:eastAsia="仿宋" w:cs="仿宋"/>
          <w:sz w:val="32"/>
          <w:szCs w:val="32"/>
        </w:rPr>
        <w:t>生殖发育毒性试验方法，是通过对动物以受试物暴露，考察其对雄性和雌性动物生育力及生殖系统的影响。若该暴露（直接或间接）持续至子代，则还可以继续考察受试物对子代发育，甚至子代生育力的影响。</w:t>
      </w:r>
    </w:p>
    <w:p>
      <w:pPr>
        <w:ind w:firstLine="640" w:firstLineChars="200"/>
        <w:rPr>
          <w:rFonts w:ascii="仿宋" w:hAnsi="仿宋" w:eastAsia="仿宋" w:cs="仿宋"/>
          <w:sz w:val="32"/>
          <w:szCs w:val="32"/>
        </w:rPr>
      </w:pPr>
      <w:r>
        <w:rPr>
          <w:rFonts w:hint="eastAsia" w:ascii="仿宋" w:hAnsi="仿宋" w:eastAsia="仿宋" w:cs="仿宋"/>
          <w:sz w:val="32"/>
          <w:szCs w:val="32"/>
        </w:rPr>
        <w:t>目前《化妆品安全技术规范》针对生殖发育毒性试验的研究方法仅收录了致畸试验，该方法不足以全面评价生殖发育的不良影响。本指导原则参照《</w:t>
      </w:r>
      <w:r>
        <w:rPr>
          <w:rFonts w:ascii="仿宋" w:hAnsi="仿宋" w:eastAsia="仿宋" w:cs="仿宋"/>
          <w:sz w:val="32"/>
          <w:szCs w:val="32"/>
        </w:rPr>
        <w:t>OECD</w:t>
      </w:r>
      <w:r>
        <w:rPr>
          <w:rFonts w:hint="eastAsia" w:ascii="仿宋" w:hAnsi="仿宋" w:eastAsia="仿宋" w:cs="仿宋"/>
          <w:sz w:val="32"/>
          <w:szCs w:val="32"/>
        </w:rPr>
        <w:t>化学品测试指南第</w:t>
      </w:r>
      <w:r>
        <w:rPr>
          <w:rFonts w:ascii="仿宋" w:hAnsi="仿宋" w:eastAsia="仿宋" w:cs="仿宋"/>
          <w:sz w:val="32"/>
          <w:szCs w:val="32"/>
        </w:rPr>
        <w:t xml:space="preserve"> 443</w:t>
      </w:r>
      <w:r>
        <w:rPr>
          <w:rFonts w:hint="eastAsia" w:ascii="仿宋" w:hAnsi="仿宋" w:eastAsia="仿宋" w:cs="仿宋"/>
          <w:sz w:val="32"/>
          <w:szCs w:val="32"/>
        </w:rPr>
        <w:t>号：扩展一代生殖发育毒性试验</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 xml:space="preserve">OECD </w:t>
      </w:r>
      <w:r>
        <w:rPr>
          <w:rFonts w:hint="eastAsia" w:ascii="仿宋" w:hAnsi="仿宋" w:eastAsia="仿宋" w:cs="仿宋"/>
          <w:sz w:val="32"/>
          <w:szCs w:val="32"/>
        </w:rPr>
        <w:t>化学品测试指南第</w:t>
      </w:r>
      <w:r>
        <w:rPr>
          <w:rFonts w:ascii="仿宋" w:hAnsi="仿宋" w:eastAsia="仿宋" w:cs="仿宋"/>
          <w:sz w:val="32"/>
          <w:szCs w:val="32"/>
        </w:rPr>
        <w:t>416</w:t>
      </w:r>
      <w:r>
        <w:rPr>
          <w:rFonts w:hint="eastAsia" w:ascii="仿宋" w:hAnsi="仿宋" w:eastAsia="仿宋" w:cs="仿宋"/>
          <w:sz w:val="32"/>
          <w:szCs w:val="32"/>
        </w:rPr>
        <w:t>号：两代生殖发育毒性试验</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 xml:space="preserve">OECD </w:t>
      </w:r>
      <w:r>
        <w:rPr>
          <w:rFonts w:hint="eastAsia" w:ascii="仿宋" w:hAnsi="仿宋" w:eastAsia="仿宋" w:cs="仿宋"/>
          <w:sz w:val="32"/>
          <w:szCs w:val="32"/>
        </w:rPr>
        <w:t>化学品测试指南第</w:t>
      </w:r>
      <w:r>
        <w:rPr>
          <w:rFonts w:ascii="仿宋" w:hAnsi="仿宋" w:eastAsia="仿宋" w:cs="仿宋"/>
          <w:sz w:val="32"/>
          <w:szCs w:val="32"/>
        </w:rPr>
        <w:t>421</w:t>
      </w:r>
      <w:r>
        <w:rPr>
          <w:rFonts w:hint="eastAsia" w:ascii="仿宋" w:hAnsi="仿宋" w:eastAsia="仿宋" w:cs="仿宋"/>
          <w:sz w:val="32"/>
          <w:szCs w:val="32"/>
        </w:rPr>
        <w:t>号：生殖发育毒性筛选试验</w:t>
      </w:r>
      <w:r>
        <w:rPr>
          <w:rFonts w:ascii="仿宋" w:hAnsi="仿宋" w:eastAsia="仿宋" w:cs="仿宋"/>
          <w:sz w:val="32"/>
          <w:szCs w:val="32"/>
        </w:rPr>
        <w:t>》</w:t>
      </w:r>
      <w:r>
        <w:rPr>
          <w:rFonts w:hint="eastAsia" w:ascii="仿宋" w:hAnsi="仿宋" w:eastAsia="仿宋" w:cs="仿宋"/>
          <w:sz w:val="32"/>
          <w:szCs w:val="32"/>
        </w:rPr>
        <w:t>等相关内容提供了扩展一代生殖发育毒性试验和两代生殖发育毒性试验，其中扩展一代涉及神经毒的方法和指标还参考了《</w:t>
      </w:r>
      <w:r>
        <w:rPr>
          <w:rFonts w:ascii="仿宋" w:hAnsi="仿宋" w:eastAsia="仿宋" w:cs="仿宋"/>
          <w:sz w:val="32"/>
          <w:szCs w:val="32"/>
        </w:rPr>
        <w:t xml:space="preserve">OECD </w:t>
      </w:r>
      <w:r>
        <w:rPr>
          <w:rFonts w:hint="eastAsia" w:ascii="仿宋" w:hAnsi="仿宋" w:eastAsia="仿宋" w:cs="仿宋"/>
          <w:sz w:val="32"/>
          <w:szCs w:val="32"/>
        </w:rPr>
        <w:t>化学品测试指南第</w:t>
      </w:r>
      <w:r>
        <w:rPr>
          <w:rFonts w:ascii="仿宋" w:hAnsi="仿宋" w:eastAsia="仿宋" w:cs="仿宋"/>
          <w:sz w:val="32"/>
          <w:szCs w:val="32"/>
        </w:rPr>
        <w:t>424</w:t>
      </w:r>
      <w:r>
        <w:rPr>
          <w:rFonts w:hint="eastAsia" w:ascii="仿宋" w:hAnsi="仿宋" w:eastAsia="仿宋" w:cs="仿宋"/>
          <w:sz w:val="32"/>
          <w:szCs w:val="32"/>
        </w:rPr>
        <w:t>号：啮齿动物类的神经毒性试验</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OECD</w:t>
      </w:r>
      <w:r>
        <w:rPr>
          <w:rFonts w:hint="eastAsia" w:ascii="仿宋" w:hAnsi="仿宋" w:eastAsia="仿宋" w:cs="仿宋"/>
          <w:sz w:val="32"/>
          <w:szCs w:val="32"/>
        </w:rPr>
        <w:t>化学品测试指南第</w:t>
      </w:r>
      <w:r>
        <w:rPr>
          <w:rFonts w:ascii="仿宋" w:hAnsi="仿宋" w:eastAsia="仿宋" w:cs="仿宋"/>
          <w:sz w:val="32"/>
          <w:szCs w:val="32"/>
        </w:rPr>
        <w:t>426</w:t>
      </w:r>
      <w:r>
        <w:rPr>
          <w:rFonts w:hint="eastAsia" w:ascii="仿宋" w:hAnsi="仿宋" w:eastAsia="仿宋" w:cs="仿宋"/>
          <w:sz w:val="32"/>
          <w:szCs w:val="32"/>
        </w:rPr>
        <w:t>号：发育神经毒性试验</w:t>
      </w:r>
      <w:r>
        <w:rPr>
          <w:rFonts w:ascii="仿宋" w:hAnsi="仿宋" w:eastAsia="仿宋" w:cs="仿宋"/>
          <w:sz w:val="32"/>
          <w:szCs w:val="32"/>
        </w:rPr>
        <w:t>》</w:t>
      </w:r>
      <w:r>
        <w:rPr>
          <w:rFonts w:hint="eastAsia" w:ascii="仿宋" w:hAnsi="仿宋" w:eastAsia="仿宋" w:cs="仿宋"/>
          <w:sz w:val="32"/>
          <w:szCs w:val="32"/>
        </w:rPr>
        <w:t>，旨在为化妆品和原料的</w:t>
      </w:r>
      <w:r>
        <w:rPr>
          <w:rFonts w:hint="eastAsia" w:ascii="仿宋" w:hAnsi="仿宋" w:eastAsia="仿宋" w:cs="仿宋"/>
          <w:sz w:val="32"/>
          <w:szCs w:val="32"/>
          <w:lang w:bidi="ar"/>
        </w:rPr>
        <w:t>生殖发育毒性</w:t>
      </w:r>
      <w:r>
        <w:rPr>
          <w:rFonts w:hint="eastAsia" w:ascii="仿宋" w:hAnsi="仿宋" w:eastAsia="仿宋" w:cs="仿宋"/>
          <w:sz w:val="32"/>
          <w:szCs w:val="32"/>
        </w:rPr>
        <w:t>评价补充研究方法，为研究方法的选择提供参考，并为实验设计提供技术指导。本指导原则适用于可能对亲代生殖系统以及子代发育产生不良影响的化妆品和原料的</w:t>
      </w:r>
      <w:r>
        <w:rPr>
          <w:rFonts w:hint="eastAsia" w:ascii="仿宋" w:hAnsi="仿宋" w:eastAsia="仿宋" w:cs="仿宋"/>
          <w:sz w:val="32"/>
          <w:szCs w:val="32"/>
          <w:lang w:bidi="ar"/>
        </w:rPr>
        <w:t>生殖发育毒性</w:t>
      </w:r>
      <w:r>
        <w:rPr>
          <w:rFonts w:hint="eastAsia" w:ascii="仿宋" w:hAnsi="仿宋" w:eastAsia="仿宋" w:cs="仿宋"/>
          <w:sz w:val="32"/>
          <w:szCs w:val="32"/>
        </w:rPr>
        <w:t>评价。</w:t>
      </w:r>
      <w:bookmarkStart w:id="9" w:name="_Toc150279813"/>
      <w:r>
        <w:rPr>
          <w:rFonts w:hint="eastAsia" w:ascii="仿宋" w:hAnsi="仿宋" w:eastAsia="仿宋" w:cs="仿宋"/>
          <w:sz w:val="32"/>
          <w:szCs w:val="32"/>
        </w:rPr>
        <w:t>本指导原则是在现行法规和标准以及当前科学认知水平下制定的，随着法规和标准的更新完善，以及科学技术的发展，将适时进行调整。</w:t>
      </w:r>
      <w:bookmarkEnd w:id="9"/>
    </w:p>
    <w:p>
      <w:pPr>
        <w:widowControl w:val="0"/>
        <w:autoSpaceDE w:val="0"/>
        <w:autoSpaceDN w:val="0"/>
        <w:adjustRightInd w:val="0"/>
        <w:spacing w:line="360" w:lineRule="auto"/>
        <w:ind w:firstLine="640" w:firstLineChars="200"/>
        <w:jc w:val="both"/>
        <w:outlineLvl w:val="0"/>
        <w:rPr>
          <w:rFonts w:ascii="黑体" w:hAnsi="黑体" w:eastAsia="黑体" w:cs="黑体"/>
          <w:sz w:val="32"/>
          <w:szCs w:val="32"/>
        </w:rPr>
      </w:pPr>
      <w:bookmarkStart w:id="10" w:name="_Toc139684098"/>
      <w:bookmarkStart w:id="11" w:name="_Toc19482"/>
      <w:bookmarkStart w:id="12" w:name="_Toc150279814"/>
      <w:bookmarkStart w:id="13" w:name="_Toc3583"/>
      <w:bookmarkStart w:id="14" w:name="_Toc30267"/>
      <w:bookmarkStart w:id="15" w:name="_Toc4623"/>
      <w:bookmarkStart w:id="16" w:name="_Toc6122"/>
      <w:bookmarkStart w:id="17" w:name="_Toc30427"/>
      <w:bookmarkStart w:id="18" w:name="_Toc150500928"/>
      <w:bookmarkStart w:id="19" w:name="_Toc15781"/>
      <w:bookmarkStart w:id="20" w:name="_Toc26042"/>
      <w:bookmarkStart w:id="21" w:name="_Toc5394"/>
      <w:bookmarkStart w:id="22" w:name="_Toc27137"/>
      <w:bookmarkStart w:id="23" w:name="_Toc7594"/>
      <w:bookmarkStart w:id="24" w:name="_Toc18028"/>
      <w:bookmarkStart w:id="25" w:name="_Toc18275"/>
      <w:bookmarkStart w:id="26" w:name="_Toc5302"/>
      <w:bookmarkStart w:id="27" w:name="_Toc25745"/>
      <w:bookmarkStart w:id="28" w:name="_Toc120947966"/>
      <w:bookmarkStart w:id="29" w:name="_Toc27423"/>
      <w:r>
        <w:rPr>
          <w:rFonts w:hint="eastAsia" w:ascii="黑体" w:hAnsi="黑体" w:eastAsia="黑体" w:cs="黑体"/>
          <w:sz w:val="32"/>
          <w:szCs w:val="32"/>
        </w:rPr>
        <w:t>二、基本原则</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ind w:firstLine="640" w:firstLineChars="200"/>
        <w:rPr>
          <w:rFonts w:ascii="仿宋" w:hAnsi="仿宋" w:eastAsia="仿宋" w:cs="仿宋"/>
          <w:sz w:val="32"/>
          <w:szCs w:val="32"/>
        </w:rPr>
      </w:pPr>
      <w:r>
        <w:rPr>
          <w:rFonts w:hint="eastAsia" w:ascii="仿宋" w:hAnsi="仿宋" w:eastAsia="仿宋" w:cs="仿宋"/>
          <w:sz w:val="32"/>
          <w:szCs w:val="32"/>
        </w:rPr>
        <w:t>生殖毒性试验的一般原理为，通过将受试物持续暴露于亲代及其子代，观察受试物对亲代生育力及子代发育的影响。应按照所用方法的程序和要求开展研究，并遵循以下原则。</w:t>
      </w:r>
    </w:p>
    <w:p>
      <w:pPr>
        <w:autoSpaceDE w:val="0"/>
        <w:autoSpaceDN w:val="0"/>
        <w:adjustRightInd w:val="0"/>
        <w:spacing w:line="360" w:lineRule="auto"/>
        <w:ind w:firstLine="643" w:firstLineChars="200"/>
        <w:outlineLvl w:val="1"/>
        <w:rPr>
          <w:rFonts w:ascii="仿宋" w:hAnsi="仿宋" w:eastAsia="仿宋" w:cs="仿宋"/>
          <w:b/>
          <w:sz w:val="32"/>
          <w:szCs w:val="32"/>
        </w:rPr>
      </w:pPr>
      <w:bookmarkStart w:id="30" w:name="_Toc23400"/>
      <w:bookmarkStart w:id="31" w:name="_Toc25560"/>
      <w:bookmarkStart w:id="32" w:name="_Toc144629258"/>
      <w:bookmarkStart w:id="33" w:name="_Toc150500929"/>
      <w:bookmarkStart w:id="34" w:name="_Toc26525"/>
      <w:bookmarkStart w:id="35" w:name="_Toc356"/>
      <w:bookmarkStart w:id="36" w:name="_Toc150279815"/>
      <w:bookmarkStart w:id="37" w:name="_Toc7528"/>
      <w:bookmarkStart w:id="38" w:name="_Toc24959"/>
      <w:bookmarkStart w:id="39" w:name="_Toc8524"/>
      <w:bookmarkStart w:id="40" w:name="_Toc4289"/>
      <w:bookmarkStart w:id="41" w:name="_Toc14185"/>
      <w:bookmarkStart w:id="42" w:name="_Toc15940"/>
      <w:bookmarkStart w:id="43" w:name="_Toc4569"/>
      <w:bookmarkStart w:id="44" w:name="_Toc17273"/>
      <w:bookmarkStart w:id="45" w:name="_Toc2437"/>
      <w:bookmarkStart w:id="46" w:name="_Toc11643"/>
      <w:bookmarkStart w:id="47" w:name="_Toc11941"/>
      <w:bookmarkStart w:id="48" w:name="_Toc20747"/>
      <w:bookmarkStart w:id="49" w:name="_Toc31879"/>
      <w:bookmarkStart w:id="50" w:name="_Toc5877"/>
      <w:bookmarkStart w:id="51" w:name="_Toc20014"/>
      <w:bookmarkStart w:id="52" w:name="_Toc120947970"/>
      <w:bookmarkStart w:id="53" w:name="_Toc139684102"/>
      <w:r>
        <w:rPr>
          <w:rFonts w:hint="eastAsia" w:ascii="仿宋" w:hAnsi="仿宋" w:eastAsia="仿宋" w:cs="仿宋"/>
          <w:b/>
          <w:sz w:val="32"/>
          <w:szCs w:val="32"/>
        </w:rPr>
        <w:t>（一）一般原则</w:t>
      </w:r>
      <w:bookmarkEnd w:id="30"/>
      <w:bookmarkEnd w:id="31"/>
      <w:bookmarkEnd w:id="32"/>
      <w:bookmarkEnd w:id="33"/>
      <w:bookmarkEnd w:id="34"/>
      <w:bookmarkEnd w:id="35"/>
      <w:bookmarkEnd w:id="36"/>
      <w:bookmarkEnd w:id="37"/>
      <w:bookmarkEnd w:id="38"/>
    </w:p>
    <w:p>
      <w:pPr>
        <w:ind w:firstLine="640" w:firstLineChars="200"/>
        <w:rPr>
          <w:rFonts w:ascii="仿宋" w:hAnsi="仿宋" w:eastAsia="仿宋" w:cs="仿宋"/>
          <w:sz w:val="32"/>
          <w:szCs w:val="32"/>
        </w:rPr>
      </w:pPr>
      <w:r>
        <w:rPr>
          <w:rFonts w:hint="eastAsia" w:ascii="仿宋" w:hAnsi="仿宋" w:eastAsia="仿宋" w:cs="仿宋"/>
          <w:sz w:val="32"/>
          <w:szCs w:val="32"/>
        </w:rPr>
        <w:t>生殖发育毒性试验的设计，应遵循生物试验的基本原则，即随机、对照和重复，同时也要</w:t>
      </w:r>
      <w:r>
        <w:rPr>
          <w:rFonts w:ascii="仿宋" w:hAnsi="仿宋" w:eastAsia="仿宋" w:cs="仿宋"/>
          <w:sz w:val="32"/>
          <w:szCs w:val="32"/>
        </w:rPr>
        <w:t xml:space="preserve"> </w:t>
      </w:r>
      <w:r>
        <w:rPr>
          <w:rFonts w:hint="eastAsia" w:ascii="仿宋" w:hAnsi="仿宋" w:eastAsia="仿宋" w:cs="仿宋"/>
          <w:sz w:val="32"/>
          <w:szCs w:val="32"/>
        </w:rPr>
        <w:t>“具体问题具体分析”。根据已有的受试物相关资料，如结构特点、理化性质、药理毒理研究信息、可能的暴露途径等选择恰当的试验方法，合理的试验方案，并科学全面地分析评价受试物的生殖发育毒性。</w:t>
      </w:r>
    </w:p>
    <w:p>
      <w:pPr>
        <w:autoSpaceDE w:val="0"/>
        <w:autoSpaceDN w:val="0"/>
        <w:adjustRightInd w:val="0"/>
        <w:spacing w:line="360" w:lineRule="auto"/>
        <w:ind w:firstLine="643" w:firstLineChars="200"/>
        <w:outlineLvl w:val="1"/>
        <w:rPr>
          <w:rFonts w:ascii="仿宋" w:hAnsi="仿宋" w:eastAsia="仿宋" w:cs="仿宋"/>
          <w:b/>
          <w:sz w:val="32"/>
          <w:szCs w:val="32"/>
          <w:lang w:bidi="ar"/>
        </w:rPr>
      </w:pPr>
      <w:bookmarkStart w:id="54" w:name="_Toc10566"/>
      <w:bookmarkStart w:id="55" w:name="_Toc7058"/>
      <w:bookmarkStart w:id="56" w:name="_Toc16888"/>
      <w:bookmarkStart w:id="57" w:name="_Toc25972"/>
      <w:bookmarkStart w:id="58" w:name="_Toc150279816"/>
      <w:bookmarkStart w:id="59" w:name="_Toc14419"/>
      <w:bookmarkStart w:id="60" w:name="_Toc144629260"/>
      <w:bookmarkStart w:id="61" w:name="_Toc18593"/>
      <w:bookmarkStart w:id="62" w:name="_Toc150500930"/>
      <w:r>
        <w:rPr>
          <w:rFonts w:hint="eastAsia" w:ascii="仿宋" w:hAnsi="仿宋" w:eastAsia="仿宋" w:cs="仿宋"/>
          <w:b/>
          <w:sz w:val="32"/>
          <w:szCs w:val="32"/>
        </w:rPr>
        <w:t>（二）</w:t>
      </w:r>
      <w:bookmarkEnd w:id="54"/>
      <w:bookmarkEnd w:id="55"/>
      <w:bookmarkEnd w:id="56"/>
      <w:bookmarkEnd w:id="57"/>
      <w:r>
        <w:rPr>
          <w:rFonts w:hint="eastAsia" w:ascii="仿宋" w:hAnsi="仿宋" w:eastAsia="仿宋" w:cs="仿宋"/>
          <w:b/>
          <w:sz w:val="32"/>
          <w:szCs w:val="32"/>
        </w:rPr>
        <w:t>试验研究策略</w:t>
      </w:r>
      <w:bookmarkEnd w:id="58"/>
      <w:bookmarkEnd w:id="59"/>
      <w:bookmarkEnd w:id="60"/>
      <w:bookmarkEnd w:id="61"/>
      <w:bookmarkEnd w:id="62"/>
    </w:p>
    <w:p>
      <w:pPr>
        <w:ind w:firstLine="640" w:firstLineChars="200"/>
        <w:rPr>
          <w:rFonts w:ascii="仿宋" w:hAnsi="仿宋" w:eastAsia="仿宋" w:cs="仿宋"/>
          <w:sz w:val="32"/>
          <w:szCs w:val="32"/>
        </w:rPr>
      </w:pPr>
      <w:r>
        <w:rPr>
          <w:rFonts w:hint="eastAsia" w:ascii="仿宋" w:hAnsi="仿宋" w:eastAsia="仿宋" w:cs="仿宋"/>
          <w:sz w:val="32"/>
          <w:szCs w:val="32"/>
          <w:lang w:bidi="ar"/>
        </w:rPr>
        <w:t>致畸试验主要针对胚胎-胎仔发育毒性的评价；而扩展一代生殖发育毒性试验和两代生殖发育毒性试验均主要考察</w:t>
      </w:r>
      <w:r>
        <w:rPr>
          <w:rFonts w:hint="eastAsia" w:ascii="仿宋" w:hAnsi="仿宋" w:eastAsia="仿宋" w:cs="仿宋"/>
          <w:sz w:val="32"/>
          <w:szCs w:val="32"/>
        </w:rPr>
        <w:t>亲代生殖系统以及子代的发育毒性。</w:t>
      </w:r>
    </w:p>
    <w:p>
      <w:pPr>
        <w:ind w:firstLine="640" w:firstLineChars="200"/>
        <w:rPr>
          <w:rFonts w:ascii="仿宋" w:hAnsi="仿宋" w:eastAsia="仿宋" w:cs="仿宋"/>
          <w:sz w:val="32"/>
          <w:szCs w:val="32"/>
        </w:rPr>
      </w:pPr>
      <w:r>
        <w:rPr>
          <w:rFonts w:hint="eastAsia" w:ascii="仿宋" w:hAnsi="仿宋" w:eastAsia="仿宋" w:cs="仿宋"/>
          <w:sz w:val="32"/>
          <w:szCs w:val="32"/>
          <w:lang w:bidi="ar"/>
        </w:rPr>
        <w:t>扩展一代生殖发育毒性试验和两代生殖发育毒性试验选择其中</w:t>
      </w:r>
      <w:r>
        <w:rPr>
          <w:rFonts w:hint="eastAsia" w:ascii="仿宋" w:hAnsi="仿宋" w:eastAsia="仿宋" w:cs="仿宋"/>
          <w:sz w:val="32"/>
          <w:szCs w:val="32"/>
        </w:rPr>
        <w:t>一种即可。两种方法各有优缺点，其中</w:t>
      </w:r>
      <w:r>
        <w:rPr>
          <w:rFonts w:hint="eastAsia" w:ascii="仿宋" w:hAnsi="仿宋" w:eastAsia="仿宋" w:cs="仿宋"/>
          <w:sz w:val="32"/>
          <w:szCs w:val="32"/>
          <w:lang w:bidi="ar"/>
        </w:rPr>
        <w:t>两代生殖发育毒性试验虽能较为全面的评估生殖发育毒性，但是面临大量的实验动物耗费。而扩展一代生殖发育毒性试验虽然减少了动物使用数量并对产后发育进行了较为全面的检测，但该方法需要试验人员对触发条件有准确果断的判断。因此，试验人员可根据不同的研究目的和自身情况选择合适的试验方法。</w:t>
      </w:r>
    </w:p>
    <w:bookmarkEnd w:id="39"/>
    <w:bookmarkEnd w:id="40"/>
    <w:bookmarkEnd w:id="41"/>
    <w:bookmarkEnd w:id="42"/>
    <w:bookmarkEnd w:id="43"/>
    <w:bookmarkEnd w:id="44"/>
    <w:bookmarkEnd w:id="45"/>
    <w:bookmarkEnd w:id="46"/>
    <w:bookmarkEnd w:id="47"/>
    <w:bookmarkEnd w:id="48"/>
    <w:bookmarkEnd w:id="49"/>
    <w:bookmarkEnd w:id="50"/>
    <w:bookmarkEnd w:id="51"/>
    <w:p>
      <w:pPr>
        <w:autoSpaceDE w:val="0"/>
        <w:autoSpaceDN w:val="0"/>
        <w:adjustRightInd w:val="0"/>
        <w:spacing w:line="360" w:lineRule="auto"/>
        <w:ind w:firstLine="640" w:firstLineChars="200"/>
        <w:outlineLvl w:val="0"/>
        <w:rPr>
          <w:rFonts w:ascii="黑体" w:hAnsi="黑体" w:eastAsia="黑体" w:cs="黑体"/>
          <w:sz w:val="32"/>
          <w:szCs w:val="32"/>
        </w:rPr>
      </w:pPr>
      <w:bookmarkStart w:id="63" w:name="_Toc16651"/>
      <w:bookmarkStart w:id="64" w:name="_Toc19199"/>
      <w:bookmarkStart w:id="65" w:name="_Toc27394"/>
      <w:bookmarkStart w:id="66" w:name="_Toc150500931"/>
      <w:bookmarkStart w:id="67" w:name="_Toc20969"/>
      <w:bookmarkStart w:id="68" w:name="_Toc150279817"/>
      <w:bookmarkStart w:id="69" w:name="_Toc15541"/>
      <w:bookmarkStart w:id="70" w:name="_Toc1391"/>
      <w:bookmarkStart w:id="71" w:name="_Toc16427"/>
      <w:bookmarkStart w:id="72" w:name="_Toc29000"/>
      <w:bookmarkStart w:id="73" w:name="_Toc27923"/>
      <w:bookmarkStart w:id="74" w:name="_Toc31458"/>
      <w:bookmarkStart w:id="75" w:name="_Toc7874"/>
      <w:bookmarkStart w:id="76" w:name="_Toc21887"/>
      <w:bookmarkStart w:id="77" w:name="_Toc26526"/>
      <w:bookmarkStart w:id="78" w:name="_Toc8223"/>
      <w:bookmarkStart w:id="79" w:name="_Toc5104"/>
      <w:bookmarkStart w:id="80" w:name="_Toc24209"/>
      <w:bookmarkStart w:id="81" w:name="_Toc28926"/>
      <w:bookmarkStart w:id="82" w:name="_Toc13798"/>
      <w:bookmarkStart w:id="83" w:name="_Toc13191"/>
      <w:bookmarkStart w:id="84" w:name="_Toc9655"/>
      <w:bookmarkStart w:id="85" w:name="_Toc17592"/>
      <w:r>
        <w:rPr>
          <w:rFonts w:hint="eastAsia" w:ascii="黑体" w:hAnsi="黑体" w:eastAsia="黑体" w:cs="黑体"/>
          <w:sz w:val="32"/>
          <w:szCs w:val="32"/>
        </w:rPr>
        <w:t>三、基本内容</w:t>
      </w:r>
      <w:bookmarkEnd w:id="63"/>
      <w:bookmarkEnd w:id="64"/>
      <w:bookmarkEnd w:id="65"/>
      <w:bookmarkEnd w:id="66"/>
      <w:bookmarkEnd w:id="67"/>
      <w:bookmarkEnd w:id="68"/>
      <w:bookmarkEnd w:id="69"/>
    </w:p>
    <w:p>
      <w:pPr>
        <w:numPr>
          <w:ilvl w:val="255"/>
          <w:numId w:val="0"/>
        </w:numPr>
        <w:autoSpaceDE w:val="0"/>
        <w:autoSpaceDN w:val="0"/>
        <w:adjustRightInd w:val="0"/>
        <w:spacing w:line="360" w:lineRule="auto"/>
        <w:ind w:firstLine="643" w:firstLineChars="200"/>
        <w:outlineLvl w:val="1"/>
        <w:rPr>
          <w:rFonts w:eastAsia="仿宋"/>
          <w:b/>
          <w:bCs/>
          <w:sz w:val="32"/>
          <w:szCs w:val="32"/>
        </w:rPr>
      </w:pPr>
      <w:bookmarkStart w:id="86" w:name="_Toc19281"/>
      <w:bookmarkStart w:id="87" w:name="_Toc150500932"/>
      <w:bookmarkStart w:id="88" w:name="_Toc150279818"/>
      <w:r>
        <w:rPr>
          <w:rFonts w:hint="eastAsia" w:eastAsia="仿宋"/>
          <w:b/>
          <w:bCs/>
          <w:sz w:val="32"/>
          <w:szCs w:val="32"/>
        </w:rPr>
        <w:t>（一）</w:t>
      </w:r>
      <w:bookmarkEnd w:id="86"/>
      <w:r>
        <w:rPr>
          <w:rFonts w:hint="eastAsia" w:eastAsia="仿宋"/>
          <w:b/>
          <w:bCs/>
          <w:sz w:val="32"/>
          <w:szCs w:val="32"/>
        </w:rPr>
        <w:t>受试物</w:t>
      </w:r>
      <w:bookmarkEnd w:id="87"/>
      <w:bookmarkEnd w:id="88"/>
    </w:p>
    <w:bookmarkEnd w:id="52"/>
    <w:bookmarkEnd w:id="53"/>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Pr>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受试物若需配制，所选择的溶媒通常包括水和玉米油，其它溶剂也可以选择，但应明确其本身的毒性及其是否改变受试物的化学特性。所配制的溶液也应当确保其稳定性。</w:t>
      </w:r>
    </w:p>
    <w:p>
      <w:pPr>
        <w:pStyle w:val="5"/>
        <w:snapToGrid w:val="0"/>
        <w:spacing w:line="360" w:lineRule="auto"/>
        <w:ind w:firstLine="643"/>
        <w:jc w:val="both"/>
        <w:outlineLvl w:val="1"/>
        <w:rPr>
          <w:rFonts w:ascii="仿宋" w:hAnsi="仿宋" w:eastAsia="仿宋" w:cs="仿宋"/>
          <w:b/>
          <w:bCs/>
          <w:sz w:val="32"/>
          <w:szCs w:val="32"/>
          <w:lang w:bidi="ar"/>
        </w:rPr>
      </w:pPr>
      <w:bookmarkStart w:id="89" w:name="_Toc26515"/>
      <w:bookmarkStart w:id="90" w:name="_Toc25775"/>
      <w:bookmarkStart w:id="91" w:name="_Toc6"/>
      <w:bookmarkStart w:id="92" w:name="_Toc15086"/>
      <w:bookmarkStart w:id="93" w:name="_Toc150279819"/>
      <w:bookmarkStart w:id="94" w:name="_Toc3441"/>
      <w:bookmarkStart w:id="95" w:name="_Toc150500933"/>
      <w:r>
        <w:rPr>
          <w:rFonts w:hint="eastAsia" w:ascii="仿宋" w:hAnsi="仿宋" w:eastAsia="仿宋" w:cs="仿宋"/>
          <w:b/>
          <w:bCs/>
          <w:sz w:val="32"/>
          <w:szCs w:val="32"/>
          <w:lang w:bidi="ar"/>
        </w:rPr>
        <w:t>（二）暴露方式</w:t>
      </w:r>
      <w:bookmarkEnd w:id="89"/>
      <w:bookmarkEnd w:id="90"/>
      <w:bookmarkEnd w:id="91"/>
      <w:bookmarkEnd w:id="92"/>
      <w:bookmarkEnd w:id="93"/>
      <w:bookmarkEnd w:id="94"/>
      <w:bookmarkEnd w:id="95"/>
    </w:p>
    <w:p>
      <w:pPr>
        <w:pStyle w:val="5"/>
        <w:snapToGrid w:val="0"/>
        <w:spacing w:line="360" w:lineRule="auto"/>
        <w:ind w:firstLine="640"/>
        <w:jc w:val="both"/>
        <w:rPr>
          <w:rFonts w:ascii="仿宋" w:hAnsi="仿宋" w:eastAsia="仿宋" w:cs="仿宋"/>
          <w:sz w:val="32"/>
          <w:szCs w:val="32"/>
          <w:lang w:bidi="ar"/>
        </w:rPr>
      </w:pPr>
      <w:r>
        <w:rPr>
          <w:rFonts w:hint="eastAsia" w:ascii="仿宋" w:hAnsi="仿宋" w:eastAsia="仿宋" w:cs="仿宋"/>
          <w:sz w:val="32"/>
          <w:szCs w:val="32"/>
          <w:lang w:bidi="ar"/>
        </w:rPr>
        <w:t>首先应考虑选择与人的可能暴露途径最接近的方式。也可根据受试物的物化特性选择合适的暴露途径。</w:t>
      </w:r>
    </w:p>
    <w:p>
      <w:pPr>
        <w:pStyle w:val="5"/>
        <w:snapToGrid w:val="0"/>
        <w:spacing w:line="360" w:lineRule="auto"/>
        <w:ind w:firstLine="640"/>
        <w:jc w:val="both"/>
        <w:rPr>
          <w:rFonts w:ascii="仿宋" w:hAnsi="仿宋" w:eastAsia="仿宋" w:cs="仿宋"/>
          <w:sz w:val="32"/>
          <w:szCs w:val="32"/>
          <w:lang w:bidi="ar"/>
        </w:rPr>
      </w:pPr>
      <w:r>
        <w:rPr>
          <w:rFonts w:hint="eastAsia" w:ascii="仿宋" w:hAnsi="仿宋" w:eastAsia="仿宋" w:cs="仿宋"/>
          <w:sz w:val="32"/>
          <w:szCs w:val="32"/>
          <w:lang w:bidi="ar"/>
        </w:rPr>
        <w:t>化妆品和原料可能暴露风险途径一般有经口、经皮或吸入，生殖发育毒性试验一般选择经口暴露方式，除非经皮或经吸入暴露方式更合适，溶媒对照应采用相同的暴露途径。若设置阳性对照，其处理方式可以不同于受试物处理组。一般首次开展生殖发育毒性试验需要设置阳性对照。阳性对照物的选择因作用阶段不同可有多种选择，试验设计人员可根据受试物特征，选择合适的阳性物（如环磷酰胺可引起生育力降低、胎仔发育缺陷，维A酸引起神经系统、骨骼和心血管系统缺陷，丙硫氧嘧啶可致甲状腺肿等）以考察所关注的实验终点。</w:t>
      </w:r>
    </w:p>
    <w:p>
      <w:pPr>
        <w:pStyle w:val="5"/>
        <w:snapToGrid w:val="0"/>
        <w:spacing w:line="360" w:lineRule="auto"/>
        <w:ind w:firstLine="640"/>
        <w:jc w:val="both"/>
        <w:rPr>
          <w:rFonts w:ascii="仿宋" w:hAnsi="仿宋" w:eastAsia="仿宋" w:cs="仿宋"/>
          <w:sz w:val="32"/>
          <w:szCs w:val="32"/>
          <w:lang w:bidi="ar"/>
        </w:rPr>
      </w:pPr>
      <w:r>
        <w:rPr>
          <w:rFonts w:hint="eastAsia" w:ascii="仿宋" w:hAnsi="仿宋" w:eastAsia="仿宋" w:cs="仿宋"/>
          <w:sz w:val="32"/>
          <w:szCs w:val="32"/>
          <w:lang w:bidi="ar"/>
        </w:rPr>
        <w:t>通过饲料或饮水给予受试物，在设置对照组时应对其处理方式的合理性加以考虑。经皮给予受试物时，应确保足够接触时长和接触面积。经口灌胃则需要考虑动物所能接受的最大生物限度。经吸入暴露需控制好氧气和二氧化碳浓度，并确保受试物浓度的持续稳定。</w:t>
      </w:r>
    </w:p>
    <w:p>
      <w:pPr>
        <w:pStyle w:val="5"/>
        <w:snapToGrid w:val="0"/>
        <w:spacing w:line="360" w:lineRule="auto"/>
        <w:ind w:firstLine="640"/>
        <w:jc w:val="both"/>
        <w:rPr>
          <w:rFonts w:ascii="仿宋" w:hAnsi="仿宋" w:eastAsia="仿宋" w:cs="仿宋"/>
          <w:sz w:val="32"/>
          <w:szCs w:val="32"/>
          <w:lang w:bidi="ar"/>
        </w:rPr>
      </w:pPr>
      <w:r>
        <w:rPr>
          <w:rFonts w:hint="eastAsia" w:ascii="仿宋" w:hAnsi="仿宋" w:eastAsia="仿宋" w:cs="仿宋"/>
          <w:sz w:val="32"/>
          <w:szCs w:val="32"/>
          <w:lang w:bidi="ar"/>
        </w:rPr>
        <w:t>一般情况下，选择以上受试物暴露途径是合适的，若选择其它暴露途径应阐明选择理由。同时，不论剂量组或阳性对照组，采取腹腔注射的暴露方式是不可取的。</w:t>
      </w:r>
    </w:p>
    <w:p>
      <w:pPr>
        <w:pStyle w:val="5"/>
        <w:snapToGrid w:val="0"/>
        <w:spacing w:line="360" w:lineRule="auto"/>
        <w:ind w:firstLine="643"/>
        <w:jc w:val="both"/>
        <w:outlineLvl w:val="1"/>
        <w:rPr>
          <w:rFonts w:ascii="仿宋" w:hAnsi="仿宋" w:eastAsia="仿宋" w:cs="仿宋"/>
          <w:b/>
          <w:bCs/>
          <w:sz w:val="32"/>
          <w:szCs w:val="32"/>
          <w:lang w:bidi="ar"/>
        </w:rPr>
      </w:pPr>
      <w:bookmarkStart w:id="96" w:name="_Toc26202"/>
      <w:bookmarkStart w:id="97" w:name="_Toc2109"/>
      <w:bookmarkStart w:id="98" w:name="_Toc11190"/>
      <w:bookmarkStart w:id="99" w:name="_Toc150500934"/>
      <w:bookmarkStart w:id="100" w:name="_Toc4127"/>
      <w:bookmarkStart w:id="101" w:name="_Toc21014"/>
      <w:bookmarkStart w:id="102" w:name="_Toc17417"/>
      <w:bookmarkStart w:id="103" w:name="_Toc26630"/>
      <w:bookmarkStart w:id="104" w:name="_Toc3498"/>
      <w:bookmarkStart w:id="105" w:name="_Toc14214"/>
      <w:bookmarkStart w:id="106" w:name="_Toc150279820"/>
      <w:bookmarkStart w:id="107" w:name="_Toc21855"/>
      <w:bookmarkStart w:id="108" w:name="_Toc27813"/>
      <w:bookmarkStart w:id="109" w:name="_Toc14750"/>
      <w:r>
        <w:rPr>
          <w:rFonts w:hint="eastAsia" w:ascii="仿宋" w:hAnsi="仿宋" w:eastAsia="仿宋" w:cs="仿宋"/>
          <w:b/>
          <w:bCs/>
          <w:sz w:val="32"/>
          <w:szCs w:val="32"/>
          <w:lang w:bidi="ar"/>
        </w:rPr>
        <w:t>（三）实验动物</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5"/>
        <w:snapToGrid w:val="0"/>
        <w:spacing w:line="360" w:lineRule="auto"/>
        <w:ind w:firstLine="640"/>
        <w:jc w:val="both"/>
        <w:rPr>
          <w:rFonts w:ascii="仿宋" w:hAnsi="仿宋" w:eastAsia="仿宋" w:cs="仿宋"/>
          <w:sz w:val="32"/>
          <w:szCs w:val="32"/>
          <w:lang w:bidi="ar"/>
        </w:rPr>
      </w:pPr>
      <w:r>
        <w:rPr>
          <w:rFonts w:hint="eastAsia" w:ascii="仿宋" w:hAnsi="仿宋" w:eastAsia="仿宋" w:cs="仿宋"/>
          <w:sz w:val="32"/>
          <w:szCs w:val="32"/>
          <w:lang w:bidi="ar"/>
        </w:rPr>
        <w:t>首选种属为大鼠，若选择其它种属动物应有合理理由，同时应避免选择生育力低且具有明显发育缺陷的动物种属。所选动物应健康且未经历任何试验，其中雌性动物应为未经产且未孕动物。在开始试验时，动物应已发育性成熟。</w:t>
      </w:r>
    </w:p>
    <w:p>
      <w:pPr>
        <w:pStyle w:val="5"/>
        <w:snapToGrid w:val="0"/>
        <w:spacing w:line="360" w:lineRule="auto"/>
        <w:ind w:firstLine="640"/>
        <w:jc w:val="both"/>
        <w:rPr>
          <w:rFonts w:ascii="仿宋" w:hAnsi="仿宋" w:eastAsia="仿宋" w:cs="仿宋"/>
          <w:sz w:val="32"/>
          <w:szCs w:val="32"/>
          <w:lang w:bidi="ar"/>
        </w:rPr>
      </w:pPr>
      <w:r>
        <w:rPr>
          <w:rFonts w:hint="eastAsia" w:ascii="仿宋" w:hAnsi="仿宋" w:eastAsia="仿宋" w:cs="仿宋"/>
          <w:sz w:val="32"/>
          <w:szCs w:val="32"/>
          <w:lang w:bidi="ar"/>
        </w:rPr>
        <w:t>生殖发育毒性试验通常应确保至少有20只成功怀孕的雌性动物用于分析，但在某些情况下（如个别动物死亡或流产），未达到20只怀孕动物也可接受，但应遵循</w:t>
      </w:r>
      <w:r>
        <w:rPr>
          <w:rFonts w:hint="eastAsia" w:ascii="仿宋" w:hAnsi="仿宋" w:eastAsia="仿宋" w:cs="仿宋"/>
          <w:sz w:val="32"/>
          <w:szCs w:val="32"/>
        </w:rPr>
        <w:t>具体问题具体分析</w:t>
      </w:r>
      <w:r>
        <w:rPr>
          <w:rFonts w:hint="eastAsia" w:ascii="仿宋" w:hAnsi="仿宋" w:eastAsia="仿宋" w:cs="仿宋"/>
          <w:sz w:val="32"/>
          <w:szCs w:val="32"/>
          <w:lang w:bidi="ar"/>
        </w:rPr>
        <w:t>原则。</w:t>
      </w:r>
    </w:p>
    <w:p>
      <w:pPr>
        <w:snapToGrid w:val="0"/>
        <w:spacing w:line="360" w:lineRule="auto"/>
        <w:ind w:firstLine="643" w:firstLineChars="200"/>
        <w:jc w:val="both"/>
        <w:outlineLvl w:val="1"/>
        <w:rPr>
          <w:rFonts w:ascii="仿宋" w:hAnsi="仿宋" w:eastAsia="仿宋" w:cs="仿宋"/>
          <w:b/>
          <w:bCs/>
          <w:sz w:val="32"/>
          <w:szCs w:val="32"/>
        </w:rPr>
      </w:pPr>
      <w:bookmarkStart w:id="110" w:name="_Toc18222"/>
      <w:bookmarkStart w:id="111" w:name="_Toc23033"/>
      <w:bookmarkStart w:id="112" w:name="_Toc7253"/>
      <w:bookmarkStart w:id="113" w:name="_Toc6456"/>
      <w:bookmarkStart w:id="114" w:name="_Toc11819"/>
      <w:bookmarkStart w:id="115" w:name="_Toc11807"/>
      <w:bookmarkStart w:id="116" w:name="_Toc20042"/>
      <w:bookmarkStart w:id="117" w:name="_Toc20498"/>
      <w:bookmarkStart w:id="118" w:name="_Toc22755"/>
      <w:bookmarkStart w:id="119" w:name="_Toc7907"/>
      <w:bookmarkStart w:id="120" w:name="_Toc31650"/>
      <w:bookmarkStart w:id="121" w:name="_Toc15228"/>
      <w:bookmarkStart w:id="122" w:name="_Toc17802"/>
      <w:bookmarkStart w:id="123" w:name="_Toc150500935"/>
      <w:bookmarkStart w:id="124" w:name="_Toc150279821"/>
      <w:r>
        <w:rPr>
          <w:rFonts w:hint="eastAsia" w:ascii="仿宋" w:hAnsi="仿宋" w:eastAsia="仿宋" w:cs="仿宋"/>
          <w:b/>
          <w:bCs/>
          <w:sz w:val="32"/>
          <w:szCs w:val="32"/>
        </w:rPr>
        <w:t>（四）</w:t>
      </w:r>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ascii="仿宋" w:hAnsi="仿宋" w:eastAsia="仿宋" w:cs="仿宋"/>
          <w:b/>
          <w:bCs/>
          <w:sz w:val="32"/>
          <w:szCs w:val="32"/>
        </w:rPr>
        <w:t>剂量设计与分组</w:t>
      </w:r>
      <w:bookmarkEnd w:id="123"/>
      <w:bookmarkEnd w:id="124"/>
    </w:p>
    <w:p>
      <w:pPr>
        <w:snapToGrid w:val="0"/>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通常情况下，设置3个剂量组和1个溶媒对照组较为合适，但是根据剂量反应曲线特征也可增加或减少组别。高剂量的选择可以参考受试物的毒代动力学试验数据或重复剂量毒性试验资料。若无相关资料，高剂量的选择应确保产生一定程度的全身毒性但不致死或造成动物严重的痛苦。低剂量应能够确定NOAEL或可以用于推导基准剂量（Bench mark dose, BMD）。</w:t>
      </w:r>
    </w:p>
    <w:p>
      <w:pPr>
        <w:snapToGrid w:val="0"/>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拟进行限制剂量试验时，应注意其前提条件为人的可能暴露水平低于</w:t>
      </w:r>
      <w:r>
        <w:rPr>
          <w:rFonts w:ascii="仿宋" w:hAnsi="仿宋" w:eastAsia="仿宋" w:cs="仿宋"/>
          <w:sz w:val="32"/>
          <w:szCs w:val="32"/>
        </w:rPr>
        <w:t>1000 mg/kg/day</w:t>
      </w:r>
      <w:r>
        <w:rPr>
          <w:rFonts w:hint="eastAsia" w:ascii="仿宋" w:hAnsi="仿宋" w:eastAsia="仿宋" w:cs="仿宋"/>
          <w:sz w:val="32"/>
          <w:szCs w:val="32"/>
        </w:rPr>
        <w:t>。</w:t>
      </w:r>
    </w:p>
    <w:p>
      <w:pPr>
        <w:snapToGrid w:val="0"/>
        <w:spacing w:line="360" w:lineRule="auto"/>
        <w:ind w:firstLine="643" w:firstLineChars="200"/>
        <w:jc w:val="both"/>
        <w:outlineLvl w:val="1"/>
        <w:rPr>
          <w:rFonts w:ascii="仿宋" w:hAnsi="仿宋" w:eastAsia="仿宋" w:cs="仿宋"/>
          <w:b/>
          <w:bCs/>
          <w:sz w:val="32"/>
          <w:szCs w:val="32"/>
        </w:rPr>
      </w:pPr>
      <w:bookmarkStart w:id="125" w:name="_Toc150500936"/>
      <w:bookmarkStart w:id="126" w:name="_Toc150279822"/>
      <w:r>
        <w:rPr>
          <w:rFonts w:hint="eastAsia" w:ascii="仿宋" w:hAnsi="仿宋" w:eastAsia="仿宋" w:cs="仿宋"/>
          <w:b/>
          <w:bCs/>
          <w:sz w:val="32"/>
          <w:szCs w:val="32"/>
        </w:rPr>
        <w:t>（五）试验设计</w:t>
      </w:r>
      <w:bookmarkEnd w:id="125"/>
      <w:bookmarkEnd w:id="126"/>
    </w:p>
    <w:p>
      <w:pPr>
        <w:snapToGrid w:val="0"/>
        <w:spacing w:line="360" w:lineRule="auto"/>
        <w:ind w:firstLine="640" w:firstLineChars="200"/>
        <w:jc w:val="both"/>
        <w:rPr>
          <w:rFonts w:ascii="仿宋" w:hAnsi="仿宋" w:eastAsia="仿宋" w:cs="仿宋"/>
          <w:sz w:val="32"/>
          <w:szCs w:val="32"/>
        </w:rPr>
      </w:pPr>
      <w:r>
        <w:rPr>
          <w:rFonts w:eastAsia="仿宋"/>
          <w:sz w:val="32"/>
          <w:szCs w:val="32"/>
        </w:rPr>
        <w:t>1.</w:t>
      </w:r>
      <w:r>
        <w:rPr>
          <w:rFonts w:hint="eastAsia" w:ascii="仿宋" w:hAnsi="仿宋" w:eastAsia="仿宋" w:cs="仿宋"/>
          <w:sz w:val="32"/>
          <w:szCs w:val="32"/>
        </w:rPr>
        <w:t>扩展一代生殖发育毒性试验</w:t>
      </w:r>
    </w:p>
    <w:p>
      <w:pPr>
        <w:snapToGrid w:val="0"/>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从F0持续暴露至F1离乳，观察受试物对F0的生育力、生殖系统和F1的生殖（满足触发条件的情况下）和发育影响。</w:t>
      </w:r>
    </w:p>
    <w:p>
      <w:pPr>
        <w:snapToGrid w:val="0"/>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扩展一代生殖发育毒性试验增强了对F1代发育的评价功能。以亚组的形式分别评价F1的生殖和全身毒性，潜在的生殖毒性，潜在的神经发育毒性和潜在的发育免疫毒性。其中对后面三种潜在发育毒性的研究规定了触发条件，仅在满足相关实验终点判定依据（内部触发）或不具有相关毒理资料（外部触发）的情况下方开展进一步的潜在发育毒性研究。</w:t>
      </w:r>
    </w:p>
    <w:p>
      <w:pPr>
        <w:snapToGrid w:val="0"/>
        <w:spacing w:line="360" w:lineRule="auto"/>
        <w:ind w:firstLine="640" w:firstLineChars="200"/>
        <w:jc w:val="both"/>
        <w:rPr>
          <w:rFonts w:ascii="仿宋" w:hAnsi="仿宋" w:eastAsia="仿宋" w:cs="仿宋"/>
          <w:sz w:val="32"/>
          <w:szCs w:val="32"/>
        </w:rPr>
      </w:pPr>
      <w:r>
        <w:rPr>
          <w:rFonts w:eastAsia="仿宋"/>
          <w:sz w:val="32"/>
          <w:szCs w:val="32"/>
        </w:rPr>
        <w:t>2.</w:t>
      </w:r>
      <w:r>
        <w:rPr>
          <w:rFonts w:hint="eastAsia" w:ascii="仿宋" w:hAnsi="仿宋" w:eastAsia="仿宋" w:cs="仿宋"/>
          <w:sz w:val="32"/>
          <w:szCs w:val="32"/>
        </w:rPr>
        <w:t>两代生殖发育毒性试验</w:t>
      </w:r>
    </w:p>
    <w:p>
      <w:pPr>
        <w:snapToGrid w:val="0"/>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从F0持续暴露至F2离乳，观察受试物对F0的生育力、生殖系统和F1的生殖和发育影响。</w:t>
      </w:r>
    </w:p>
    <w:p>
      <w:pPr>
        <w:snapToGrid w:val="0"/>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与扩展一代生殖发育毒性试验相比，两代生殖发育毒性周期较长，且缺少对F1免疫系统发育的关注。在开展试验前对受试物资料分析的过程中，若发现有免疫发育毒性提示，建议增加免疫系统（如胸腺、脾脏、骨髓、暴露途径相关淋巴结和远端淋巴结）的组织病理检查。</w:t>
      </w:r>
    </w:p>
    <w:p>
      <w:pPr>
        <w:snapToGrid w:val="0"/>
        <w:spacing w:line="360" w:lineRule="auto"/>
        <w:ind w:firstLine="643" w:firstLineChars="200"/>
        <w:jc w:val="both"/>
        <w:outlineLvl w:val="1"/>
        <w:rPr>
          <w:rFonts w:ascii="仿宋" w:hAnsi="仿宋" w:eastAsia="仿宋" w:cs="仿宋"/>
          <w:b/>
          <w:bCs/>
          <w:sz w:val="32"/>
          <w:szCs w:val="32"/>
        </w:rPr>
      </w:pPr>
      <w:bookmarkStart w:id="127" w:name="_Toc150500937"/>
      <w:bookmarkStart w:id="128" w:name="_Toc150279823"/>
      <w:r>
        <w:rPr>
          <w:rFonts w:hint="eastAsia" w:ascii="仿宋" w:hAnsi="仿宋" w:eastAsia="仿宋" w:cs="仿宋"/>
          <w:b/>
          <w:bCs/>
          <w:sz w:val="32"/>
          <w:szCs w:val="32"/>
        </w:rPr>
        <w:t>（六）观察指标</w:t>
      </w:r>
      <w:bookmarkEnd w:id="127"/>
      <w:bookmarkEnd w:id="128"/>
    </w:p>
    <w:p>
      <w:pPr>
        <w:snapToGrid w:val="0"/>
        <w:spacing w:line="360" w:lineRule="auto"/>
        <w:ind w:firstLine="640" w:firstLineChars="200"/>
        <w:jc w:val="both"/>
        <w:rPr>
          <w:rFonts w:ascii="仿宋" w:hAnsi="仿宋" w:eastAsia="仿宋" w:cs="仿宋"/>
          <w:sz w:val="32"/>
          <w:szCs w:val="32"/>
        </w:rPr>
      </w:pPr>
      <w:r>
        <w:rPr>
          <w:rFonts w:eastAsia="仿宋"/>
          <w:sz w:val="32"/>
          <w:szCs w:val="32"/>
        </w:rPr>
        <w:t>1.</w:t>
      </w:r>
      <w:r>
        <w:rPr>
          <w:rFonts w:hint="eastAsia" w:ascii="仿宋" w:hAnsi="仿宋" w:eastAsia="仿宋" w:cs="仿宋"/>
          <w:sz w:val="32"/>
          <w:szCs w:val="32"/>
        </w:rPr>
        <w:t>临床观察</w:t>
      </w:r>
    </w:p>
    <w:p>
      <w:pPr>
        <w:snapToGrid w:val="0"/>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包括至少每天一次的一般临床观察和每天两次笼旁观察以及每周一次的全面的临床观察，通常可以在给动物称重时进行。</w:t>
      </w:r>
    </w:p>
    <w:p>
      <w:pPr>
        <w:snapToGrid w:val="0"/>
        <w:spacing w:line="360" w:lineRule="auto"/>
        <w:ind w:firstLine="640" w:firstLineChars="200"/>
        <w:jc w:val="both"/>
        <w:rPr>
          <w:rFonts w:ascii="仿宋" w:hAnsi="仿宋" w:eastAsia="仿宋" w:cs="仿宋"/>
          <w:sz w:val="32"/>
          <w:szCs w:val="32"/>
        </w:rPr>
      </w:pPr>
      <w:r>
        <w:rPr>
          <w:rFonts w:eastAsia="仿宋"/>
          <w:sz w:val="32"/>
          <w:szCs w:val="32"/>
        </w:rPr>
        <w:t>2.</w:t>
      </w:r>
      <w:r>
        <w:rPr>
          <w:rFonts w:hint="eastAsia" w:ascii="仿宋" w:hAnsi="仿宋" w:eastAsia="仿宋" w:cs="仿宋"/>
          <w:sz w:val="32"/>
          <w:szCs w:val="32"/>
        </w:rPr>
        <w:t>体重、摄食及饮水</w:t>
      </w:r>
    </w:p>
    <w:p>
      <w:pPr>
        <w:snapToGrid w:val="0"/>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体重、摄食和饮水测定频率一般每周一次较为合适，但是哺乳期的幼仔生长速度较快，更高频率的测量较为合适。一些受试物暴露节点如首次给予受试物和解剖当日需要称重。此外，具有发育里程碑意义的时间点，如雄性包皮龟头分离、雌性阴道口张开当日也应称重。</w:t>
      </w:r>
    </w:p>
    <w:p>
      <w:pPr>
        <w:snapToGrid w:val="0"/>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需要注意的是，扩展一代生殖发育毒性试验中亲代体重测量的频率未对妊娠期做特殊要求，但也应建议选择G0、G7、G14、G20/G21这几个时间点。对于子一代的体重测量，两代生殖发育毒性试验中需要测量首次接触受试物当日的体重。</w:t>
      </w:r>
    </w:p>
    <w:p>
      <w:pPr>
        <w:snapToGrid w:val="0"/>
        <w:spacing w:line="360" w:lineRule="auto"/>
        <w:ind w:firstLine="640" w:firstLineChars="200"/>
        <w:jc w:val="both"/>
        <w:rPr>
          <w:rFonts w:ascii="仿宋" w:hAnsi="仿宋" w:eastAsia="仿宋" w:cs="仿宋"/>
          <w:sz w:val="32"/>
          <w:szCs w:val="32"/>
        </w:rPr>
      </w:pPr>
      <w:r>
        <w:rPr>
          <w:rFonts w:eastAsia="仿宋"/>
          <w:sz w:val="32"/>
          <w:szCs w:val="32"/>
        </w:rPr>
        <w:t>3.</w:t>
      </w:r>
      <w:r>
        <w:rPr>
          <w:rFonts w:hint="eastAsia" w:ascii="仿宋" w:hAnsi="仿宋" w:eastAsia="仿宋" w:cs="仿宋"/>
          <w:sz w:val="32"/>
          <w:szCs w:val="32"/>
        </w:rPr>
        <w:t>动情周期</w:t>
      </w:r>
    </w:p>
    <w:p>
      <w:pPr>
        <w:snapToGrid w:val="0"/>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动情周期通过阴道涂片进行监测。实验室历史数据若显示大部分雌性不具有4-5天的动情周期，建议筛选具有正常动情周期的雌性动物纳入试验。需注意的是，在一些应激情况下，动情周期也可能发生改变，应与受试物导致的动情周期改变加以区分。</w:t>
      </w:r>
    </w:p>
    <w:p>
      <w:pPr>
        <w:snapToGrid w:val="0"/>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扩展一代生殖发育毒性试验中对动情周期的监测时长有明确要求，而两代生殖发育毒性试验中未予以明确，但是通常情况下连续两个动情周期的监测能够满足对动情周期的评估要求。</w:t>
      </w:r>
    </w:p>
    <w:p>
      <w:pPr>
        <w:snapToGrid w:val="0"/>
        <w:spacing w:line="360" w:lineRule="auto"/>
        <w:ind w:firstLine="640" w:firstLineChars="200"/>
        <w:jc w:val="both"/>
        <w:rPr>
          <w:rFonts w:ascii="仿宋" w:hAnsi="仿宋" w:eastAsia="仿宋" w:cs="仿宋"/>
          <w:sz w:val="32"/>
          <w:szCs w:val="32"/>
        </w:rPr>
      </w:pPr>
      <w:r>
        <w:rPr>
          <w:rFonts w:eastAsia="仿宋"/>
          <w:sz w:val="32"/>
          <w:szCs w:val="32"/>
        </w:rPr>
        <w:t>4.</w:t>
      </w:r>
      <w:r>
        <w:rPr>
          <w:rFonts w:hint="eastAsia" w:ascii="仿宋" w:hAnsi="仿宋" w:eastAsia="仿宋" w:cs="仿宋"/>
          <w:sz w:val="32"/>
          <w:szCs w:val="32"/>
        </w:rPr>
        <w:t>精子参数</w:t>
      </w:r>
    </w:p>
    <w:p>
      <w:pPr>
        <w:snapToGrid w:val="0"/>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精子参数的分析一般包括精子活力分析、精子计数、精子形态分析。对于来自于解剖时及时冻存的样本或固定后的涂片，或者直接采用精子分析仪等计算机辅助系统及时采集的样本图像，可仅对高剂量组和对照组进行分析，仅在有受试物相关性时拓展至更低的剂量组。</w:t>
      </w:r>
    </w:p>
    <w:p>
      <w:pPr>
        <w:snapToGrid w:val="0"/>
        <w:spacing w:line="360" w:lineRule="auto"/>
        <w:ind w:firstLine="640" w:firstLineChars="200"/>
        <w:jc w:val="both"/>
        <w:rPr>
          <w:rFonts w:ascii="仿宋" w:hAnsi="仿宋" w:eastAsia="仿宋" w:cs="仿宋"/>
          <w:sz w:val="32"/>
          <w:szCs w:val="32"/>
        </w:rPr>
      </w:pPr>
      <w:r>
        <w:rPr>
          <w:rFonts w:eastAsia="仿宋"/>
          <w:sz w:val="32"/>
          <w:szCs w:val="32"/>
        </w:rPr>
        <w:t>5.</w:t>
      </w:r>
      <w:r>
        <w:rPr>
          <w:rFonts w:hint="eastAsia" w:ascii="仿宋" w:hAnsi="仿宋" w:eastAsia="仿宋" w:cs="仿宋"/>
          <w:sz w:val="32"/>
          <w:szCs w:val="32"/>
        </w:rPr>
        <w:t>血液学及血生化</w:t>
      </w:r>
    </w:p>
    <w:p>
      <w:pPr>
        <w:snapToGrid w:val="0"/>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扩展一代生殖发育毒性试验要求F</w:t>
      </w:r>
      <w:r>
        <w:rPr>
          <w:rFonts w:ascii="仿宋" w:hAnsi="仿宋" w:eastAsia="仿宋" w:cs="仿宋"/>
          <w:sz w:val="32"/>
          <w:szCs w:val="32"/>
        </w:rPr>
        <w:t>0</w:t>
      </w:r>
      <w:r>
        <w:rPr>
          <w:rFonts w:hint="eastAsia" w:ascii="仿宋" w:hAnsi="仿宋" w:eastAsia="仿宋" w:cs="仿宋"/>
          <w:sz w:val="32"/>
          <w:szCs w:val="32"/>
        </w:rPr>
        <w:t>在解剖当天采集血样做血液学、血生化及甲状腺素/促甲状腺素（T4/TSH）分析。两代生殖发育毒性试验中此项研究不是必须，但若提示受试物有内分泌干扰作用，仍应分析</w:t>
      </w:r>
      <w:r>
        <w:rPr>
          <w:rFonts w:ascii="仿宋" w:hAnsi="仿宋" w:eastAsia="仿宋" w:cs="仿宋"/>
          <w:sz w:val="32"/>
          <w:szCs w:val="32"/>
        </w:rPr>
        <w:t>T4/TSH</w:t>
      </w:r>
      <w:r>
        <w:rPr>
          <w:rFonts w:hint="eastAsia" w:ascii="仿宋" w:hAnsi="仿宋" w:eastAsia="仿宋" w:cs="仿宋"/>
          <w:sz w:val="32"/>
          <w:szCs w:val="32"/>
        </w:rPr>
        <w:t>。</w:t>
      </w:r>
    </w:p>
    <w:p>
      <w:pPr>
        <w:snapToGrid w:val="0"/>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对激素的分析可不仅限于T4/TSH，一些情况下，检测黄体生成素（LH）、卵泡刺激素（FSH）、孕酮、雌二醇及睾酮等也有助于对试验结果的解释。</w:t>
      </w:r>
    </w:p>
    <w:p>
      <w:pPr>
        <w:snapToGrid w:val="0"/>
        <w:spacing w:line="360" w:lineRule="auto"/>
        <w:ind w:firstLine="640" w:firstLineChars="200"/>
        <w:jc w:val="both"/>
        <w:rPr>
          <w:rFonts w:ascii="仿宋" w:hAnsi="仿宋" w:eastAsia="仿宋" w:cs="仿宋"/>
          <w:sz w:val="32"/>
          <w:szCs w:val="32"/>
        </w:rPr>
      </w:pPr>
      <w:r>
        <w:rPr>
          <w:rFonts w:eastAsia="仿宋"/>
          <w:sz w:val="32"/>
          <w:szCs w:val="32"/>
        </w:rPr>
        <w:t>6.</w:t>
      </w:r>
      <w:r>
        <w:rPr>
          <w:rFonts w:hint="eastAsia" w:ascii="仿宋" w:hAnsi="仿宋" w:eastAsia="仿宋" w:cs="仿宋"/>
          <w:sz w:val="32"/>
          <w:szCs w:val="32"/>
        </w:rPr>
        <w:t>尿液分析</w:t>
      </w:r>
    </w:p>
    <w:p>
      <w:pPr>
        <w:snapToGrid w:val="0"/>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扩展一代生殖发育毒性试验要求进行尿液分析，但是若在重复剂量毒性试验中明确受试物不改变尿液参数，那么该项研究无需开展。两代生殖发育毒性试验此项研究不是必须。</w:t>
      </w:r>
    </w:p>
    <w:p>
      <w:pPr>
        <w:snapToGrid w:val="0"/>
        <w:spacing w:line="360" w:lineRule="auto"/>
        <w:ind w:firstLine="640" w:firstLineChars="200"/>
        <w:jc w:val="both"/>
        <w:rPr>
          <w:rFonts w:ascii="仿宋" w:hAnsi="仿宋" w:eastAsia="仿宋" w:cs="仿宋"/>
          <w:sz w:val="32"/>
          <w:szCs w:val="32"/>
        </w:rPr>
      </w:pPr>
      <w:r>
        <w:rPr>
          <w:rFonts w:eastAsia="仿宋"/>
          <w:sz w:val="32"/>
          <w:szCs w:val="32"/>
        </w:rPr>
        <w:t>7.</w:t>
      </w:r>
      <w:r>
        <w:rPr>
          <w:rFonts w:hint="eastAsia" w:ascii="仿宋" w:hAnsi="仿宋" w:eastAsia="仿宋" w:cs="仿宋"/>
          <w:sz w:val="32"/>
          <w:szCs w:val="32"/>
        </w:rPr>
        <w:t>解剖与病理</w:t>
      </w:r>
    </w:p>
    <w:p>
      <w:pPr>
        <w:snapToGrid w:val="0"/>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所有亲代动物和选定的需要进行大体解剖的子代动物在安乐死后进行尸体解剖，也包括出生后死亡幼仔。需要称重的脏器应注意其完整性，避免其分泌液体的逸出（如避免剪破精囊腺）。做组织病理检查可以仅在高剂量组和对照组间先进行，在观察到受试物相关变化时，再将组织病理检查拓展至更低剂量组。</w:t>
      </w:r>
    </w:p>
    <w:p>
      <w:pPr>
        <w:widowControl w:val="0"/>
        <w:autoSpaceDE w:val="0"/>
        <w:autoSpaceDN w:val="0"/>
        <w:adjustRightInd w:val="0"/>
        <w:spacing w:line="360" w:lineRule="auto"/>
        <w:ind w:firstLine="640" w:firstLineChars="200"/>
        <w:jc w:val="both"/>
        <w:outlineLvl w:val="0"/>
        <w:rPr>
          <w:rFonts w:ascii="黑体" w:hAnsi="黑体" w:eastAsia="黑体" w:cs="黑体"/>
          <w:sz w:val="32"/>
          <w:szCs w:val="32"/>
        </w:rPr>
      </w:pPr>
      <w:bookmarkStart w:id="129" w:name="_Toc26470"/>
      <w:bookmarkStart w:id="130" w:name="_Toc26989"/>
      <w:bookmarkStart w:id="131" w:name="_Toc4966"/>
      <w:bookmarkStart w:id="132" w:name="_Toc77475538"/>
      <w:bookmarkStart w:id="133" w:name="_Toc7723"/>
      <w:bookmarkStart w:id="134" w:name="_Toc11849"/>
      <w:bookmarkStart w:id="135" w:name="_Toc150500938"/>
      <w:bookmarkStart w:id="136" w:name="_Toc150279824"/>
      <w:bookmarkStart w:id="137" w:name="_Toc25985"/>
      <w:bookmarkStart w:id="138" w:name="_Toc1562"/>
      <w:bookmarkStart w:id="139" w:name="_Toc17731"/>
      <w:bookmarkStart w:id="140" w:name="_Toc10525"/>
      <w:bookmarkStart w:id="141" w:name="_Toc30614"/>
      <w:bookmarkStart w:id="142" w:name="_Toc24462"/>
      <w:bookmarkStart w:id="143" w:name="_Toc18882"/>
      <w:bookmarkStart w:id="144" w:name="_Toc1472"/>
      <w:bookmarkStart w:id="145" w:name="_Toc22777"/>
      <w:bookmarkStart w:id="146" w:name="_Toc11726"/>
      <w:bookmarkStart w:id="147" w:name="_Toc6488"/>
      <w:r>
        <w:rPr>
          <w:rFonts w:hint="eastAsia" w:ascii="黑体" w:hAnsi="黑体" w:eastAsia="黑体" w:cs="黑体"/>
          <w:sz w:val="32"/>
          <w:szCs w:val="32"/>
        </w:rPr>
        <w:t>四、结果分析与评价</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snapToGrid w:val="0"/>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需要在报告中列出的试验数据及结果见附件中试验方法的相应部分。</w:t>
      </w:r>
    </w:p>
    <w:p>
      <w:pPr>
        <w:snapToGrid w:val="0"/>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数据和结果以表格形式进行总结，并采用合适的、可接受的统计方法进行评估，注意区分统计学意义和生物学意义。应能估计NOAEL剂量水平，并对受试物在生殖、分娩、哺乳及出生后发育(包括生长和性发育)的不利影响尽可能充分暴露。</w:t>
      </w:r>
    </w:p>
    <w:p>
      <w:pPr>
        <w:widowControl w:val="0"/>
        <w:autoSpaceDE w:val="0"/>
        <w:autoSpaceDN w:val="0"/>
        <w:adjustRightInd w:val="0"/>
        <w:spacing w:line="360" w:lineRule="auto"/>
        <w:ind w:firstLine="640" w:firstLineChars="200"/>
        <w:jc w:val="both"/>
        <w:outlineLvl w:val="0"/>
        <w:rPr>
          <w:rFonts w:ascii="黑体" w:hAnsi="黑体" w:eastAsia="黑体" w:cs="黑体"/>
          <w:sz w:val="32"/>
          <w:szCs w:val="32"/>
        </w:rPr>
      </w:pPr>
      <w:bookmarkStart w:id="148" w:name="_Toc31013"/>
      <w:bookmarkStart w:id="149" w:name="_Toc1310"/>
      <w:bookmarkStart w:id="150" w:name="_Toc150500939"/>
      <w:bookmarkStart w:id="151" w:name="_Toc77475540"/>
      <w:bookmarkStart w:id="152" w:name="_Toc19405"/>
      <w:bookmarkStart w:id="153" w:name="_Toc30164"/>
      <w:bookmarkStart w:id="154" w:name="_Toc16597"/>
      <w:bookmarkStart w:id="155" w:name="_Toc4325"/>
      <w:bookmarkStart w:id="156" w:name="_Toc8137"/>
      <w:bookmarkStart w:id="157" w:name="_Toc18543"/>
      <w:bookmarkStart w:id="158" w:name="_Toc3452"/>
      <w:bookmarkStart w:id="159" w:name="_Toc17433"/>
      <w:bookmarkStart w:id="160" w:name="_Toc19845"/>
      <w:bookmarkStart w:id="161" w:name="_Toc19989"/>
      <w:bookmarkStart w:id="162" w:name="_Toc6331"/>
      <w:r>
        <w:rPr>
          <w:rFonts w:hint="eastAsia" w:ascii="黑体" w:hAnsi="黑体" w:eastAsia="黑体" w:cs="黑体"/>
          <w:sz w:val="32"/>
          <w:szCs w:val="32"/>
        </w:rPr>
        <w:t>五、参考文献</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snapToGrid w:val="0"/>
        <w:spacing w:line="360" w:lineRule="auto"/>
        <w:ind w:left="640" w:hanging="640" w:hangingChars="200"/>
        <w:rPr>
          <w:rFonts w:eastAsia="仿宋"/>
          <w:sz w:val="32"/>
          <w:szCs w:val="32"/>
        </w:rPr>
      </w:pPr>
      <w:bookmarkStart w:id="163" w:name="_Hlk83829334"/>
      <w:r>
        <w:rPr>
          <w:rFonts w:eastAsia="仿宋"/>
          <w:sz w:val="32"/>
          <w:szCs w:val="32"/>
        </w:rPr>
        <w:t>1</w:t>
      </w:r>
      <w:r>
        <w:rPr>
          <w:rFonts w:hint="eastAsia" w:eastAsia="仿宋"/>
          <w:sz w:val="32"/>
          <w:szCs w:val="32"/>
        </w:rPr>
        <w:t>．</w:t>
      </w:r>
      <w:r>
        <w:rPr>
          <w:rFonts w:eastAsia="仿宋"/>
          <w:sz w:val="32"/>
          <w:szCs w:val="32"/>
        </w:rPr>
        <w:t xml:space="preserve"> OECD  Test No. 416: Two-Generation Reproduction Toxicity, OECD Guidelines for the Testing of Chemicals, Section 4, </w:t>
      </w:r>
      <w:r>
        <w:rPr>
          <w:sz w:val="32"/>
          <w:szCs w:val="32"/>
          <w:shd w:val="clear" w:color="auto" w:fill="FFFFFF"/>
        </w:rPr>
        <w:t>Paris: OECD Publishing; 2001.</w:t>
      </w:r>
    </w:p>
    <w:p>
      <w:pPr>
        <w:snapToGrid w:val="0"/>
        <w:spacing w:line="360" w:lineRule="auto"/>
        <w:ind w:left="640" w:hanging="640" w:hangingChars="200"/>
        <w:rPr>
          <w:rFonts w:eastAsia="仿宋"/>
          <w:sz w:val="32"/>
          <w:szCs w:val="32"/>
        </w:rPr>
      </w:pPr>
      <w:r>
        <w:rPr>
          <w:rFonts w:eastAsia="仿宋"/>
          <w:sz w:val="32"/>
          <w:szCs w:val="32"/>
        </w:rPr>
        <w:t xml:space="preserve">2. OECD. Test No. 443: Extended One-Generation Reproductive Toxicity Study, OECD Guidelines for the Testing of Chemicals, Section 4, </w:t>
      </w:r>
      <w:r>
        <w:rPr>
          <w:sz w:val="32"/>
          <w:szCs w:val="32"/>
          <w:shd w:val="clear" w:color="auto" w:fill="FFFFFF"/>
        </w:rPr>
        <w:t>Paris: OECD Publishing;</w:t>
      </w:r>
      <w:r>
        <w:rPr>
          <w:rFonts w:eastAsia="仿宋"/>
          <w:sz w:val="32"/>
          <w:szCs w:val="32"/>
        </w:rPr>
        <w:t xml:space="preserve">2018. </w:t>
      </w:r>
    </w:p>
    <w:p>
      <w:pPr>
        <w:snapToGrid w:val="0"/>
        <w:spacing w:line="360" w:lineRule="auto"/>
        <w:ind w:left="640" w:hanging="640" w:hangingChars="200"/>
        <w:rPr>
          <w:rFonts w:eastAsia="仿宋"/>
          <w:sz w:val="32"/>
          <w:szCs w:val="32"/>
        </w:rPr>
      </w:pPr>
      <w:r>
        <w:rPr>
          <w:rFonts w:eastAsia="仿宋"/>
          <w:sz w:val="32"/>
          <w:szCs w:val="32"/>
        </w:rPr>
        <w:t xml:space="preserve">3. OECD. Test No. 421: Reproduction/Developmental Toxicity Screening Test, </w:t>
      </w:r>
      <w:r>
        <w:rPr>
          <w:sz w:val="32"/>
          <w:szCs w:val="32"/>
          <w:shd w:val="clear" w:color="auto" w:fill="FFFFFF"/>
        </w:rPr>
        <w:t>Paris: OECD Publishing;</w:t>
      </w:r>
      <w:r>
        <w:rPr>
          <w:rFonts w:eastAsia="仿宋"/>
          <w:sz w:val="32"/>
          <w:szCs w:val="32"/>
        </w:rPr>
        <w:t>1995.</w:t>
      </w:r>
    </w:p>
    <w:p>
      <w:pPr>
        <w:snapToGrid w:val="0"/>
        <w:spacing w:line="360" w:lineRule="auto"/>
        <w:ind w:left="640" w:hanging="640" w:hangingChars="200"/>
        <w:rPr>
          <w:rFonts w:eastAsia="仿宋"/>
          <w:sz w:val="32"/>
          <w:szCs w:val="32"/>
        </w:rPr>
      </w:pPr>
      <w:r>
        <w:rPr>
          <w:rFonts w:eastAsia="仿宋"/>
          <w:sz w:val="32"/>
          <w:szCs w:val="32"/>
        </w:rPr>
        <w:t>4. OECD. Guidance Document 117 on the Current Implementation of Internal Triggers in Test Guidance 443 for an Extended One Generation Reproductive Toxicity Study, In the United States and Canada No. 117, ENV/JM/MONO;2011.</w:t>
      </w:r>
    </w:p>
    <w:p>
      <w:pPr>
        <w:snapToGrid w:val="0"/>
        <w:spacing w:line="360" w:lineRule="auto"/>
        <w:ind w:left="640" w:hanging="640" w:hangingChars="200"/>
        <w:rPr>
          <w:rFonts w:eastAsia="仿宋"/>
          <w:sz w:val="32"/>
          <w:szCs w:val="32"/>
        </w:rPr>
      </w:pPr>
      <w:r>
        <w:rPr>
          <w:rFonts w:eastAsia="仿宋"/>
          <w:sz w:val="32"/>
          <w:szCs w:val="32"/>
        </w:rPr>
        <w:t xml:space="preserve">5. OECD.Test No. 424: Neurotoxicity Study in Rodents, OECD Guidelines for the Testing of Chemicals, Section 4, </w:t>
      </w:r>
      <w:r>
        <w:rPr>
          <w:sz w:val="32"/>
          <w:szCs w:val="32"/>
          <w:shd w:val="clear" w:color="auto" w:fill="FFFFFF"/>
        </w:rPr>
        <w:t>Paris: OECD Publishing;</w:t>
      </w:r>
      <w:r>
        <w:rPr>
          <w:rFonts w:eastAsia="仿宋"/>
          <w:sz w:val="32"/>
          <w:szCs w:val="32"/>
        </w:rPr>
        <w:t>1997.</w:t>
      </w:r>
    </w:p>
    <w:p>
      <w:pPr>
        <w:snapToGrid w:val="0"/>
        <w:spacing w:line="360" w:lineRule="auto"/>
        <w:ind w:left="640" w:hanging="640" w:hangingChars="200"/>
        <w:rPr>
          <w:rFonts w:eastAsia="仿宋"/>
          <w:sz w:val="32"/>
          <w:szCs w:val="32"/>
        </w:rPr>
      </w:pPr>
      <w:r>
        <w:rPr>
          <w:rFonts w:eastAsia="仿宋"/>
          <w:sz w:val="32"/>
          <w:szCs w:val="32"/>
        </w:rPr>
        <w:t xml:space="preserve">6. OECD. Test No. 426: Developmental Neurotoxicity Study, OECD Guidelines for the Testing of Chemicals, Section 4, </w:t>
      </w:r>
      <w:r>
        <w:rPr>
          <w:sz w:val="32"/>
          <w:szCs w:val="32"/>
          <w:shd w:val="clear" w:color="auto" w:fill="FFFFFF"/>
        </w:rPr>
        <w:t>Paris: OECD Publishing;</w:t>
      </w:r>
      <w:r>
        <w:rPr>
          <w:rFonts w:eastAsia="仿宋"/>
          <w:sz w:val="32"/>
          <w:szCs w:val="32"/>
        </w:rPr>
        <w:t xml:space="preserve"> 2007. </w:t>
      </w:r>
    </w:p>
    <w:p>
      <w:pPr>
        <w:snapToGrid w:val="0"/>
        <w:spacing w:line="360" w:lineRule="auto"/>
        <w:ind w:left="640" w:hanging="640" w:hangingChars="200"/>
        <w:rPr>
          <w:rFonts w:eastAsia="仿宋"/>
          <w:sz w:val="32"/>
          <w:szCs w:val="32"/>
        </w:rPr>
      </w:pPr>
      <w:r>
        <w:rPr>
          <w:rFonts w:eastAsia="仿宋"/>
          <w:sz w:val="32"/>
          <w:szCs w:val="32"/>
        </w:rPr>
        <w:t xml:space="preserve">7. United Nations. </w:t>
      </w:r>
      <w:bookmarkStart w:id="164" w:name="OLE_LINK1"/>
      <w:r>
        <w:rPr>
          <w:rFonts w:eastAsia="仿宋"/>
          <w:sz w:val="32"/>
          <w:szCs w:val="32"/>
        </w:rPr>
        <w:t>Globally Harmonized System of Classification and Labelling of Chemicals (GHS)</w:t>
      </w:r>
      <w:bookmarkEnd w:id="164"/>
      <w:r>
        <w:rPr>
          <w:rFonts w:eastAsia="仿宋"/>
          <w:sz w:val="32"/>
          <w:szCs w:val="32"/>
        </w:rPr>
        <w:t xml:space="preserve">, ST/SG/AC.10/30, UN New York and Geneva. </w:t>
      </w:r>
    </w:p>
    <w:p>
      <w:pPr>
        <w:snapToGrid w:val="0"/>
        <w:spacing w:line="360" w:lineRule="auto"/>
        <w:ind w:left="640" w:hanging="640" w:hangingChars="200"/>
        <w:rPr>
          <w:rFonts w:eastAsia="仿宋"/>
          <w:sz w:val="32"/>
          <w:szCs w:val="32"/>
        </w:rPr>
      </w:pPr>
      <w:r>
        <w:rPr>
          <w:rFonts w:eastAsia="仿宋"/>
          <w:sz w:val="32"/>
          <w:szCs w:val="32"/>
        </w:rPr>
        <w:t xml:space="preserve">8. </w:t>
      </w:r>
      <w:r>
        <w:rPr>
          <w:sz w:val="32"/>
          <w:szCs w:val="32"/>
          <w:shd w:val="clear" w:color="auto" w:fill="FFFFFF"/>
        </w:rPr>
        <w:t>Gallavan RH, Holson JF, Stump DG, Knapp JF, Reynolds VL. Interpreting the toxicologic significance of alterations in anogenital distance: potential for confounding effects of progeny body weights. Reproductive toxicology (Elmsford, NY). 1999;13(5):383–90.</w:t>
      </w:r>
      <w:r>
        <w:rPr>
          <w:rFonts w:eastAsia="仿宋"/>
          <w:sz w:val="32"/>
          <w:szCs w:val="32"/>
        </w:rPr>
        <w:t xml:space="preserve">9. </w:t>
      </w:r>
      <w:r>
        <w:rPr>
          <w:sz w:val="32"/>
          <w:szCs w:val="32"/>
          <w:shd w:val="clear" w:color="auto" w:fill="FFFFFF"/>
        </w:rPr>
        <w:t>Moore NP, Beekhuijzen M, Boogaard PJ, Foreman JE, North CM, Palermo C, et al. Guidance on the selection of cohorts for the extended one-generation reproduction toxicity study (OECD test guideline 443). Regulatory toxicology and pharmacology. 2016;80:32–40.</w:t>
      </w:r>
    </w:p>
    <w:p>
      <w:pPr>
        <w:snapToGrid w:val="0"/>
        <w:spacing w:line="360" w:lineRule="auto"/>
        <w:ind w:left="640" w:hanging="640" w:hangingChars="200"/>
        <w:rPr>
          <w:rFonts w:eastAsia="仿宋"/>
          <w:sz w:val="32"/>
          <w:szCs w:val="32"/>
        </w:rPr>
      </w:pPr>
      <w:r>
        <w:rPr>
          <w:rFonts w:eastAsia="仿宋"/>
          <w:sz w:val="32"/>
          <w:szCs w:val="32"/>
        </w:rPr>
        <w:t>10. OECD.Guidance Document Supporting OECD Test Guideline 443 on the Extended One Generation Reproductive Toxicity Test No. 151. ENV/JM/MONO;2013.</w:t>
      </w:r>
    </w:p>
    <w:p>
      <w:pPr>
        <w:pStyle w:val="5"/>
        <w:widowControl w:val="0"/>
        <w:snapToGrid w:val="0"/>
        <w:spacing w:line="360" w:lineRule="auto"/>
        <w:ind w:left="640" w:hanging="640" w:hangingChars="200"/>
        <w:rPr>
          <w:rFonts w:eastAsia="仿宋"/>
          <w:sz w:val="32"/>
          <w:szCs w:val="32"/>
        </w:rPr>
      </w:pPr>
      <w:r>
        <w:rPr>
          <w:rFonts w:eastAsia="仿宋"/>
          <w:sz w:val="32"/>
          <w:szCs w:val="32"/>
          <w:shd w:val="clear" w:color="auto" w:fill="FFFFFF"/>
        </w:rPr>
        <w:t xml:space="preserve">11. </w:t>
      </w:r>
      <w:r>
        <w:rPr>
          <w:rFonts w:eastAsia="仿宋"/>
          <w:sz w:val="32"/>
          <w:szCs w:val="32"/>
        </w:rPr>
        <w:t>国家食品药品监督管理局，化妆品安全技术规范（2015年版），2015.12.</w:t>
      </w:r>
    </w:p>
    <w:p>
      <w:pPr>
        <w:pStyle w:val="5"/>
        <w:widowControl w:val="0"/>
        <w:snapToGrid w:val="0"/>
        <w:spacing w:line="360" w:lineRule="auto"/>
        <w:ind w:left="640" w:hanging="640" w:hangingChars="200"/>
        <w:rPr>
          <w:rFonts w:eastAsia="仿宋"/>
          <w:sz w:val="32"/>
          <w:szCs w:val="32"/>
        </w:rPr>
      </w:pPr>
      <w:r>
        <w:rPr>
          <w:rFonts w:eastAsia="仿宋"/>
          <w:sz w:val="32"/>
          <w:szCs w:val="32"/>
        </w:rPr>
        <w:t>12. 国家药品监督管理局，化妆品安全评估技术导则（2021年版），2021.04.</w:t>
      </w:r>
    </w:p>
    <w:bookmarkEnd w:id="163"/>
    <w:p>
      <w:pPr>
        <w:widowControl w:val="0"/>
        <w:autoSpaceDE w:val="0"/>
        <w:autoSpaceDN w:val="0"/>
        <w:adjustRightInd w:val="0"/>
        <w:spacing w:line="360" w:lineRule="auto"/>
        <w:ind w:firstLine="640" w:firstLineChars="200"/>
        <w:jc w:val="both"/>
        <w:outlineLvl w:val="0"/>
        <w:rPr>
          <w:rFonts w:ascii="黑体" w:hAnsi="黑体" w:eastAsia="黑体" w:cs="黑体"/>
          <w:sz w:val="32"/>
          <w:szCs w:val="32"/>
        </w:rPr>
      </w:pPr>
      <w:bookmarkStart w:id="165" w:name="_Toc25319"/>
      <w:bookmarkStart w:id="166" w:name="_Toc26979"/>
      <w:bookmarkStart w:id="167" w:name="_Toc28859"/>
      <w:bookmarkStart w:id="168" w:name="_Toc11443"/>
      <w:bookmarkStart w:id="169" w:name="_Toc10040"/>
      <w:bookmarkStart w:id="170" w:name="_Toc32580"/>
      <w:bookmarkStart w:id="171" w:name="_Toc12628"/>
      <w:bookmarkStart w:id="172" w:name="_Toc20821"/>
      <w:bookmarkStart w:id="173" w:name="_Toc32095"/>
      <w:bookmarkStart w:id="174" w:name="_Toc6650"/>
      <w:bookmarkStart w:id="175" w:name="_Toc6863"/>
      <w:bookmarkStart w:id="176" w:name="_Toc26311"/>
      <w:bookmarkStart w:id="177" w:name="_Toc10394"/>
      <w:bookmarkStart w:id="178" w:name="_Toc20355"/>
      <w:bookmarkStart w:id="179" w:name="_Toc14120"/>
      <w:bookmarkStart w:id="180" w:name="_Toc19418"/>
      <w:bookmarkStart w:id="181" w:name="_Toc150279825"/>
      <w:bookmarkStart w:id="182" w:name="_Toc150500940"/>
      <w:r>
        <w:rPr>
          <w:rFonts w:hint="eastAsia" w:ascii="黑体" w:hAnsi="黑体" w:eastAsia="黑体" w:cs="黑体"/>
          <w:sz w:val="32"/>
          <w:szCs w:val="32"/>
        </w:rPr>
        <w:t>六、</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hint="eastAsia" w:ascii="黑体" w:hAnsi="黑体" w:eastAsia="黑体" w:cs="黑体"/>
          <w:sz w:val="32"/>
          <w:szCs w:val="32"/>
        </w:rPr>
        <w:t>术语和释义</w:t>
      </w:r>
      <w:bookmarkEnd w:id="181"/>
      <w:bookmarkEnd w:id="182"/>
    </w:p>
    <w:p>
      <w:pPr>
        <w:pStyle w:val="5"/>
        <w:widowControl w:val="0"/>
        <w:snapToGrid w:val="0"/>
        <w:spacing w:line="360" w:lineRule="auto"/>
        <w:ind w:firstLine="640"/>
        <w:jc w:val="both"/>
        <w:rPr>
          <w:rFonts w:ascii="仿宋" w:hAnsi="仿宋" w:eastAsia="仿宋" w:cs="仿宋"/>
          <w:sz w:val="32"/>
          <w:szCs w:val="32"/>
        </w:rPr>
      </w:pPr>
      <w:r>
        <w:rPr>
          <w:rFonts w:hint="eastAsia" w:ascii="仿宋" w:hAnsi="仿宋" w:eastAsia="仿宋" w:cs="仿宋"/>
          <w:sz w:val="32"/>
          <w:szCs w:val="32"/>
        </w:rPr>
        <w:t>生殖毒性（reproductive toxicity）：对后代产生有害作用，并损伤雄性和雌性的生殖功能和生殖能力。</w:t>
      </w:r>
    </w:p>
    <w:p>
      <w:pPr>
        <w:pStyle w:val="5"/>
        <w:widowControl w:val="0"/>
        <w:snapToGrid w:val="0"/>
        <w:spacing w:line="360" w:lineRule="auto"/>
        <w:ind w:firstLine="640"/>
        <w:jc w:val="both"/>
        <w:rPr>
          <w:rFonts w:ascii="仿宋" w:hAnsi="仿宋" w:eastAsia="仿宋" w:cs="仿宋"/>
          <w:sz w:val="32"/>
          <w:szCs w:val="32"/>
        </w:rPr>
      </w:pPr>
      <w:r>
        <w:rPr>
          <w:rFonts w:hint="eastAsia" w:ascii="仿宋" w:hAnsi="仿宋" w:eastAsia="仿宋" w:cs="仿宋"/>
          <w:sz w:val="32"/>
          <w:szCs w:val="32"/>
        </w:rPr>
        <w:t>发育毒性（developmental toxicity）：生殖毒性的表现，具体表现为后代在产前、围产期、产后发生的结构和功能紊乱。</w:t>
      </w:r>
    </w:p>
    <w:p>
      <w:pPr>
        <w:snapToGrid w:val="0"/>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神经发育毒性（</w:t>
      </w:r>
      <w:bookmarkStart w:id="183" w:name="OLE_LINK2"/>
      <w:r>
        <w:rPr>
          <w:rFonts w:ascii="仿宋" w:hAnsi="仿宋" w:eastAsia="仿宋" w:cs="仿宋"/>
          <w:sz w:val="32"/>
          <w:szCs w:val="32"/>
        </w:rPr>
        <w:t>developmental neurotoxicity</w:t>
      </w:r>
      <w:bookmarkEnd w:id="183"/>
      <w:r>
        <w:rPr>
          <w:rFonts w:hint="eastAsia" w:ascii="仿宋" w:hAnsi="仿宋" w:eastAsia="仿宋" w:cs="仿宋"/>
          <w:sz w:val="32"/>
          <w:szCs w:val="32"/>
        </w:rPr>
        <w:t>）：个体在发育过程中暴露于受试物后引起的神经系统结构和功能的异常改变，这种改变可以发生在生命周期的任何阶段。</w:t>
      </w:r>
    </w:p>
    <w:p>
      <w:pPr>
        <w:snapToGrid w:val="0"/>
        <w:spacing w:line="360" w:lineRule="auto"/>
        <w:ind w:firstLine="640" w:firstLineChars="200"/>
        <w:jc w:val="both"/>
        <w:rPr>
          <w:b/>
          <w:bCs/>
          <w:sz w:val="32"/>
          <w:szCs w:val="32"/>
        </w:rPr>
      </w:pPr>
      <w:r>
        <w:rPr>
          <w:rFonts w:hint="eastAsia" w:ascii="仿宋" w:hAnsi="仿宋" w:eastAsia="仿宋" w:cs="仿宋"/>
          <w:sz w:val="32"/>
          <w:szCs w:val="32"/>
        </w:rPr>
        <w:t>发育免疫毒性（</w:t>
      </w:r>
      <w:r>
        <w:rPr>
          <w:rFonts w:ascii="仿宋" w:hAnsi="仿宋" w:eastAsia="仿宋" w:cs="仿宋"/>
          <w:sz w:val="32"/>
          <w:szCs w:val="32"/>
        </w:rPr>
        <w:t>developmental immunotoxicity</w:t>
      </w:r>
      <w:r>
        <w:rPr>
          <w:rFonts w:hint="eastAsia" w:ascii="仿宋" w:hAnsi="仿宋" w:eastAsia="仿宋" w:cs="仿宋"/>
          <w:sz w:val="32"/>
          <w:szCs w:val="32"/>
        </w:rPr>
        <w:t>）：</w:t>
      </w:r>
      <w:bookmarkStart w:id="184" w:name="_Toc29740"/>
      <w:bookmarkStart w:id="185" w:name="_Toc32592"/>
      <w:bookmarkStart w:id="186" w:name="_Toc29115"/>
      <w:bookmarkStart w:id="187" w:name="_Toc7806"/>
      <w:bookmarkStart w:id="188" w:name="_Toc8323"/>
      <w:bookmarkStart w:id="189" w:name="_Toc24322"/>
      <w:bookmarkStart w:id="190" w:name="_Toc7285"/>
      <w:bookmarkStart w:id="191" w:name="_Toc8126"/>
      <w:bookmarkStart w:id="192" w:name="_Toc32513"/>
      <w:bookmarkStart w:id="193" w:name="_Toc11722"/>
      <w:bookmarkStart w:id="194" w:name="_Toc77475541"/>
      <w:r>
        <w:rPr>
          <w:rFonts w:hint="eastAsia" w:ascii="仿宋" w:hAnsi="仿宋" w:eastAsia="仿宋" w:cs="仿宋"/>
          <w:sz w:val="32"/>
          <w:szCs w:val="32"/>
        </w:rPr>
        <w:t>个体在其生命早期发育过程中（尤其是出生前后）暴露于受试物后导致的免疫系统发育受到影响、功能出现障碍，而这些影响在成年个体暴露时未被发现或持续时间较短。</w:t>
      </w:r>
    </w:p>
    <w:p>
      <w:pPr>
        <w:snapToGrid w:val="0"/>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母体毒性（maternal toxicity）：受试物引起亲代雌性妊娠动物直接或间接的健康损害效应，表现为增重减少、功能异常、毒性反应、甚至死亡。</w:t>
      </w:r>
    </w:p>
    <w:p>
      <w:pPr>
        <w:snapToGrid w:val="0"/>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未观察到有害作用剂量（no-observed-adverse effect level, NOAEL）：通过动物试验，以现有的技术手段和检测指标未观察到任何与受试物相关的毒性作用的最大剂量。</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观察到有害作用的最低剂（</w:t>
      </w:r>
      <w:r>
        <w:rPr>
          <w:rFonts w:ascii="仿宋" w:hAnsi="仿宋" w:eastAsia="仿宋" w:cs="仿宋"/>
          <w:sz w:val="32"/>
          <w:szCs w:val="32"/>
        </w:rPr>
        <w:t>lowest</w:t>
      </w:r>
      <w:r>
        <w:rPr>
          <w:rFonts w:hint="eastAsia" w:ascii="仿宋" w:hAnsi="仿宋" w:eastAsia="仿宋" w:cs="仿宋"/>
          <w:sz w:val="32"/>
          <w:szCs w:val="32"/>
        </w:rPr>
        <w:t>-</w:t>
      </w:r>
      <w:r>
        <w:rPr>
          <w:rFonts w:ascii="仿宋" w:hAnsi="仿宋" w:eastAsia="仿宋" w:cs="仿宋"/>
          <w:sz w:val="32"/>
          <w:szCs w:val="32"/>
        </w:rPr>
        <w:t>observed</w:t>
      </w:r>
      <w:r>
        <w:rPr>
          <w:rFonts w:hint="eastAsia" w:ascii="仿宋" w:hAnsi="仿宋" w:eastAsia="仿宋" w:cs="仿宋"/>
          <w:sz w:val="32"/>
          <w:szCs w:val="32"/>
        </w:rPr>
        <w:t>-</w:t>
      </w:r>
      <w:r>
        <w:rPr>
          <w:rFonts w:ascii="仿宋" w:hAnsi="仿宋" w:eastAsia="仿宋" w:cs="仿宋"/>
          <w:sz w:val="32"/>
          <w:szCs w:val="32"/>
        </w:rPr>
        <w:t xml:space="preserve">adverse </w:t>
      </w:r>
      <w:r>
        <w:rPr>
          <w:rFonts w:hint="eastAsia" w:ascii="仿宋" w:hAnsi="仿宋" w:eastAsia="仿宋" w:cs="仿宋"/>
          <w:sz w:val="32"/>
          <w:szCs w:val="32"/>
        </w:rPr>
        <w:t xml:space="preserve"> </w:t>
      </w:r>
      <w:r>
        <w:rPr>
          <w:rFonts w:ascii="仿宋" w:hAnsi="仿宋" w:eastAsia="仿宋" w:cs="仿宋"/>
          <w:sz w:val="32"/>
          <w:szCs w:val="32"/>
        </w:rPr>
        <w:t>effect level</w:t>
      </w:r>
      <w:r>
        <w:rPr>
          <w:rFonts w:hint="eastAsia" w:ascii="仿宋" w:hAnsi="仿宋" w:eastAsia="仿宋" w:cs="仿宋"/>
          <w:sz w:val="32"/>
          <w:szCs w:val="32"/>
        </w:rPr>
        <w:t>, LOAEL）：在规定的条件下，受试物引起实验动物组织形态、功能、生长发育等有害效应的最小作用剂量。</w:t>
      </w:r>
    </w:p>
    <w:bookmarkEnd w:id="184"/>
    <w:bookmarkEnd w:id="185"/>
    <w:bookmarkEnd w:id="186"/>
    <w:bookmarkEnd w:id="187"/>
    <w:bookmarkEnd w:id="188"/>
    <w:bookmarkEnd w:id="189"/>
    <w:bookmarkEnd w:id="190"/>
    <w:bookmarkEnd w:id="191"/>
    <w:bookmarkEnd w:id="192"/>
    <w:bookmarkEnd w:id="193"/>
    <w:bookmarkEnd w:id="194"/>
    <w:p>
      <w:pPr>
        <w:spacing w:line="360" w:lineRule="auto"/>
        <w:jc w:val="both"/>
      </w:pPr>
    </w:p>
    <w:p>
      <w:pPr>
        <w:spacing w:line="360" w:lineRule="auto"/>
        <w:jc w:val="both"/>
      </w:pPr>
    </w:p>
    <w:sectPr>
      <w:footerReference r:id="rId5" w:type="default"/>
      <w:pgSz w:w="11906" w:h="16838"/>
      <w:pgMar w:top="1440" w:right="1841" w:bottom="1440" w:left="180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ind w:left="420"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420"/>
      <w:rPr>
        <w:rStyle w:val="16"/>
      </w:rPr>
    </w:pPr>
    <w:r>
      <w:rPr>
        <w:rStyle w:val="16"/>
      </w:rPr>
      <w:fldChar w:fldCharType="begin"/>
    </w:r>
    <w:r>
      <w:rPr>
        <w:rStyle w:val="16"/>
      </w:rPr>
      <w:instrText xml:space="preserve">PAGE  </w:instrText>
    </w:r>
    <w:r>
      <w:rPr>
        <w:rStyle w:val="16"/>
      </w:rPr>
      <w:fldChar w:fldCharType="separate"/>
    </w:r>
    <w:r>
      <w:rPr>
        <w:rStyle w:val="16"/>
      </w:rPr>
      <w:t>132</w:t>
    </w:r>
    <w:r>
      <w:rPr>
        <w:rStyle w:val="16"/>
      </w:rPr>
      <w:fldChar w:fldCharType="end"/>
    </w:r>
  </w:p>
  <w:p>
    <w:pPr>
      <w:pStyle w:val="7"/>
      <w:ind w:left="420"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40370677"/>
                          </w:sdtPr>
                          <w:sdtContent>
                            <w:p>
                              <w:pPr>
                                <w:pStyle w:val="7"/>
                                <w:jc w:val="center"/>
                              </w:pPr>
                              <w:r>
                                <w:fldChar w:fldCharType="begin"/>
                              </w:r>
                              <w:r>
                                <w:instrText xml:space="preserve">PAGE   \* MERGEFORMAT</w:instrText>
                              </w:r>
                              <w:r>
                                <w:fldChar w:fldCharType="separate"/>
                              </w:r>
                              <w:r>
                                <w:rPr>
                                  <w:lang w:val="zh-CN"/>
                                </w:rPr>
                                <w:t>10</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840370677"/>
                    </w:sdtPr>
                    <w:sdtContent>
                      <w:p>
                        <w:pPr>
                          <w:pStyle w:val="7"/>
                          <w:jc w:val="center"/>
                        </w:pPr>
                        <w:r>
                          <w:fldChar w:fldCharType="begin"/>
                        </w:r>
                        <w:r>
                          <w:instrText xml:space="preserve">PAGE   \* MERGEFORMAT</w:instrText>
                        </w:r>
                        <w:r>
                          <w:fldChar w:fldCharType="separate"/>
                        </w:r>
                        <w:r>
                          <w:rPr>
                            <w:lang w:val="zh-CN"/>
                          </w:rPr>
                          <w:t>10</w:t>
                        </w:r>
                        <w:r>
                          <w:fldChar w:fldCharType="end"/>
                        </w:r>
                      </w:p>
                    </w:sdtContent>
                  </w:sd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NTAxY2M1N2U4MzQ5YTc0MDRjYWU4MzRkODU5NmEifQ=="/>
  </w:docVars>
  <w:rsids>
    <w:rsidRoot w:val="005278C0"/>
    <w:rsid w:val="00014B72"/>
    <w:rsid w:val="00053ADF"/>
    <w:rsid w:val="000A7208"/>
    <w:rsid w:val="000C480C"/>
    <w:rsid w:val="000C5C73"/>
    <w:rsid w:val="000C65B0"/>
    <w:rsid w:val="000E5DEE"/>
    <w:rsid w:val="001117E5"/>
    <w:rsid w:val="00112843"/>
    <w:rsid w:val="00120D1A"/>
    <w:rsid w:val="00125F2B"/>
    <w:rsid w:val="00132E3D"/>
    <w:rsid w:val="001655B1"/>
    <w:rsid w:val="00165C86"/>
    <w:rsid w:val="001A43E9"/>
    <w:rsid w:val="001C27D7"/>
    <w:rsid w:val="001D0734"/>
    <w:rsid w:val="001F32C2"/>
    <w:rsid w:val="001F4422"/>
    <w:rsid w:val="00205B06"/>
    <w:rsid w:val="002200C6"/>
    <w:rsid w:val="002278F1"/>
    <w:rsid w:val="00233144"/>
    <w:rsid w:val="002725B8"/>
    <w:rsid w:val="0029466E"/>
    <w:rsid w:val="002A0EA7"/>
    <w:rsid w:val="002B5838"/>
    <w:rsid w:val="002E681C"/>
    <w:rsid w:val="0030224B"/>
    <w:rsid w:val="00311595"/>
    <w:rsid w:val="0032364E"/>
    <w:rsid w:val="0036096B"/>
    <w:rsid w:val="0037263C"/>
    <w:rsid w:val="003819D2"/>
    <w:rsid w:val="00384924"/>
    <w:rsid w:val="003C276B"/>
    <w:rsid w:val="003C5A3D"/>
    <w:rsid w:val="003D4440"/>
    <w:rsid w:val="003D4C33"/>
    <w:rsid w:val="003E5242"/>
    <w:rsid w:val="00411AF6"/>
    <w:rsid w:val="00412DCF"/>
    <w:rsid w:val="00436596"/>
    <w:rsid w:val="00486444"/>
    <w:rsid w:val="004B5038"/>
    <w:rsid w:val="004C030B"/>
    <w:rsid w:val="004C3096"/>
    <w:rsid w:val="004C33E5"/>
    <w:rsid w:val="004C7623"/>
    <w:rsid w:val="004D549B"/>
    <w:rsid w:val="004F20B3"/>
    <w:rsid w:val="00500421"/>
    <w:rsid w:val="005278C0"/>
    <w:rsid w:val="00540C45"/>
    <w:rsid w:val="00546F98"/>
    <w:rsid w:val="0055203F"/>
    <w:rsid w:val="00560BB0"/>
    <w:rsid w:val="0056381D"/>
    <w:rsid w:val="00563DDD"/>
    <w:rsid w:val="005807CD"/>
    <w:rsid w:val="005845B1"/>
    <w:rsid w:val="005955DD"/>
    <w:rsid w:val="005A52C6"/>
    <w:rsid w:val="005B0090"/>
    <w:rsid w:val="005B03FE"/>
    <w:rsid w:val="005B1D23"/>
    <w:rsid w:val="005B1EF9"/>
    <w:rsid w:val="005B2CCF"/>
    <w:rsid w:val="005B2D10"/>
    <w:rsid w:val="005D4806"/>
    <w:rsid w:val="005D74E6"/>
    <w:rsid w:val="005D7DBA"/>
    <w:rsid w:val="005E6028"/>
    <w:rsid w:val="005F4A8D"/>
    <w:rsid w:val="005F58A9"/>
    <w:rsid w:val="00611503"/>
    <w:rsid w:val="006174A9"/>
    <w:rsid w:val="006307A0"/>
    <w:rsid w:val="006515EE"/>
    <w:rsid w:val="00671AB5"/>
    <w:rsid w:val="0067415F"/>
    <w:rsid w:val="0068116D"/>
    <w:rsid w:val="00696649"/>
    <w:rsid w:val="006B56C6"/>
    <w:rsid w:val="006B68CA"/>
    <w:rsid w:val="006F3E42"/>
    <w:rsid w:val="00704331"/>
    <w:rsid w:val="007263B1"/>
    <w:rsid w:val="0073333D"/>
    <w:rsid w:val="00743129"/>
    <w:rsid w:val="00744FB9"/>
    <w:rsid w:val="00754079"/>
    <w:rsid w:val="007649D1"/>
    <w:rsid w:val="00794D37"/>
    <w:rsid w:val="007A168A"/>
    <w:rsid w:val="007B2270"/>
    <w:rsid w:val="007B5EB3"/>
    <w:rsid w:val="007D0BB4"/>
    <w:rsid w:val="007E55AC"/>
    <w:rsid w:val="007F339A"/>
    <w:rsid w:val="00802270"/>
    <w:rsid w:val="008279A5"/>
    <w:rsid w:val="00835ED1"/>
    <w:rsid w:val="0085073A"/>
    <w:rsid w:val="00851140"/>
    <w:rsid w:val="00861C8A"/>
    <w:rsid w:val="00862F1B"/>
    <w:rsid w:val="00874C03"/>
    <w:rsid w:val="0087645A"/>
    <w:rsid w:val="00885056"/>
    <w:rsid w:val="00892186"/>
    <w:rsid w:val="008A1B37"/>
    <w:rsid w:val="008A461F"/>
    <w:rsid w:val="008E4E42"/>
    <w:rsid w:val="008E75BA"/>
    <w:rsid w:val="00903DCD"/>
    <w:rsid w:val="00916AB9"/>
    <w:rsid w:val="00926BF1"/>
    <w:rsid w:val="00931DF1"/>
    <w:rsid w:val="00933C08"/>
    <w:rsid w:val="009434F5"/>
    <w:rsid w:val="00945D0B"/>
    <w:rsid w:val="009471B0"/>
    <w:rsid w:val="0099723B"/>
    <w:rsid w:val="009A5474"/>
    <w:rsid w:val="009B24BA"/>
    <w:rsid w:val="009E07CC"/>
    <w:rsid w:val="009F1BA0"/>
    <w:rsid w:val="00A341D3"/>
    <w:rsid w:val="00A5034A"/>
    <w:rsid w:val="00A52155"/>
    <w:rsid w:val="00A533C3"/>
    <w:rsid w:val="00A574B1"/>
    <w:rsid w:val="00A57EB5"/>
    <w:rsid w:val="00A621B7"/>
    <w:rsid w:val="00A70E00"/>
    <w:rsid w:val="00A73BD8"/>
    <w:rsid w:val="00A7446B"/>
    <w:rsid w:val="00A75C42"/>
    <w:rsid w:val="00A83E0E"/>
    <w:rsid w:val="00A93CC6"/>
    <w:rsid w:val="00AB1694"/>
    <w:rsid w:val="00AE6BBE"/>
    <w:rsid w:val="00AF37D1"/>
    <w:rsid w:val="00B13369"/>
    <w:rsid w:val="00B1346D"/>
    <w:rsid w:val="00B16420"/>
    <w:rsid w:val="00B16421"/>
    <w:rsid w:val="00B31037"/>
    <w:rsid w:val="00B362D3"/>
    <w:rsid w:val="00B442AE"/>
    <w:rsid w:val="00B50B80"/>
    <w:rsid w:val="00B523B1"/>
    <w:rsid w:val="00B66604"/>
    <w:rsid w:val="00B72F85"/>
    <w:rsid w:val="00B8174D"/>
    <w:rsid w:val="00B94D1E"/>
    <w:rsid w:val="00BB0334"/>
    <w:rsid w:val="00BC19F5"/>
    <w:rsid w:val="00BC1D26"/>
    <w:rsid w:val="00BC3E9B"/>
    <w:rsid w:val="00BE19C1"/>
    <w:rsid w:val="00BF2223"/>
    <w:rsid w:val="00C01060"/>
    <w:rsid w:val="00C178D4"/>
    <w:rsid w:val="00C35E34"/>
    <w:rsid w:val="00C4337B"/>
    <w:rsid w:val="00C53FCF"/>
    <w:rsid w:val="00C57F6B"/>
    <w:rsid w:val="00C65E7C"/>
    <w:rsid w:val="00C777AD"/>
    <w:rsid w:val="00CA55B0"/>
    <w:rsid w:val="00CB18EF"/>
    <w:rsid w:val="00CB7C22"/>
    <w:rsid w:val="00CD1276"/>
    <w:rsid w:val="00CD1A77"/>
    <w:rsid w:val="00D1288F"/>
    <w:rsid w:val="00D271C2"/>
    <w:rsid w:val="00D372A4"/>
    <w:rsid w:val="00D37727"/>
    <w:rsid w:val="00D4336C"/>
    <w:rsid w:val="00D46B86"/>
    <w:rsid w:val="00D56925"/>
    <w:rsid w:val="00D72466"/>
    <w:rsid w:val="00D756E6"/>
    <w:rsid w:val="00D80DE7"/>
    <w:rsid w:val="00D845FF"/>
    <w:rsid w:val="00D92B01"/>
    <w:rsid w:val="00D953F3"/>
    <w:rsid w:val="00DA34F7"/>
    <w:rsid w:val="00DC2C54"/>
    <w:rsid w:val="00DD021C"/>
    <w:rsid w:val="00E0314F"/>
    <w:rsid w:val="00E110A5"/>
    <w:rsid w:val="00E2099E"/>
    <w:rsid w:val="00E35F2D"/>
    <w:rsid w:val="00E43170"/>
    <w:rsid w:val="00E5691B"/>
    <w:rsid w:val="00E60E4A"/>
    <w:rsid w:val="00E63B11"/>
    <w:rsid w:val="00E656AF"/>
    <w:rsid w:val="00E8351F"/>
    <w:rsid w:val="00EA3F8D"/>
    <w:rsid w:val="00EC13FE"/>
    <w:rsid w:val="00EC382D"/>
    <w:rsid w:val="00EC5EDE"/>
    <w:rsid w:val="00ED1C14"/>
    <w:rsid w:val="00EE5CAB"/>
    <w:rsid w:val="00F13929"/>
    <w:rsid w:val="00F15592"/>
    <w:rsid w:val="00F444D5"/>
    <w:rsid w:val="00F61CCD"/>
    <w:rsid w:val="00F62048"/>
    <w:rsid w:val="00F656F7"/>
    <w:rsid w:val="00F70E97"/>
    <w:rsid w:val="00F730DF"/>
    <w:rsid w:val="00FE3949"/>
    <w:rsid w:val="01D06C53"/>
    <w:rsid w:val="053E6F8E"/>
    <w:rsid w:val="062736E9"/>
    <w:rsid w:val="0D737888"/>
    <w:rsid w:val="0FB56209"/>
    <w:rsid w:val="0FDC19E8"/>
    <w:rsid w:val="12470955"/>
    <w:rsid w:val="124C3245"/>
    <w:rsid w:val="16813FC1"/>
    <w:rsid w:val="18616F2E"/>
    <w:rsid w:val="18B90B18"/>
    <w:rsid w:val="1A6E5932"/>
    <w:rsid w:val="1C9E76A5"/>
    <w:rsid w:val="1DDE2DCF"/>
    <w:rsid w:val="21EA2CC9"/>
    <w:rsid w:val="24763FB2"/>
    <w:rsid w:val="28373807"/>
    <w:rsid w:val="285F2D5E"/>
    <w:rsid w:val="2980764F"/>
    <w:rsid w:val="2F4F47F1"/>
    <w:rsid w:val="2FD82E3A"/>
    <w:rsid w:val="30DC621B"/>
    <w:rsid w:val="330E785B"/>
    <w:rsid w:val="3598278D"/>
    <w:rsid w:val="363B2150"/>
    <w:rsid w:val="40A47F47"/>
    <w:rsid w:val="41864B84"/>
    <w:rsid w:val="43963680"/>
    <w:rsid w:val="4687355F"/>
    <w:rsid w:val="49DB1DED"/>
    <w:rsid w:val="53EB4221"/>
    <w:rsid w:val="572B6870"/>
    <w:rsid w:val="5EF67F85"/>
    <w:rsid w:val="5F1F40D2"/>
    <w:rsid w:val="60821B51"/>
    <w:rsid w:val="6D162FB8"/>
    <w:rsid w:val="6F343BCA"/>
    <w:rsid w:val="71810C1C"/>
    <w:rsid w:val="72F21D68"/>
    <w:rsid w:val="7A2011CA"/>
    <w:rsid w:val="7CD267D0"/>
    <w:rsid w:val="7D666135"/>
    <w:rsid w:val="7ED65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rPr>
      <w:rFonts w:ascii="Arial" w:hAnsi="Arial" w:eastAsia="黑体"/>
      <w:sz w:val="20"/>
    </w:rPr>
  </w:style>
  <w:style w:type="paragraph" w:styleId="4">
    <w:name w:val="annotation text"/>
    <w:basedOn w:val="1"/>
    <w:link w:val="25"/>
    <w:autoRedefine/>
    <w:semiHidden/>
    <w:unhideWhenUsed/>
    <w:qFormat/>
    <w:uiPriority w:val="99"/>
  </w:style>
  <w:style w:type="paragraph" w:styleId="5">
    <w:name w:val="Body Text Indent"/>
    <w:basedOn w:val="1"/>
    <w:link w:val="22"/>
    <w:autoRedefine/>
    <w:unhideWhenUsed/>
    <w:qFormat/>
    <w:uiPriority w:val="0"/>
    <w:pPr>
      <w:topLinePunct/>
      <w:ind w:firstLine="560" w:firstLineChars="200"/>
    </w:pPr>
    <w:rPr>
      <w:rFonts w:eastAsia="仿宋_GB2312"/>
      <w:sz w:val="28"/>
      <w:szCs w:val="20"/>
    </w:rPr>
  </w:style>
  <w:style w:type="paragraph" w:styleId="6">
    <w:name w:val="Balloon Text"/>
    <w:basedOn w:val="1"/>
    <w:link w:val="24"/>
    <w:autoRedefine/>
    <w:semiHidden/>
    <w:unhideWhenUsed/>
    <w:qFormat/>
    <w:uiPriority w:val="99"/>
    <w:rPr>
      <w:sz w:val="18"/>
      <w:szCs w:val="18"/>
    </w:rPr>
  </w:style>
  <w:style w:type="paragraph" w:styleId="7">
    <w:name w:val="footer"/>
    <w:basedOn w:val="1"/>
    <w:link w:val="21"/>
    <w:autoRedefine/>
    <w:unhideWhenUsed/>
    <w:qFormat/>
    <w:uiPriority w:val="99"/>
    <w:pPr>
      <w:tabs>
        <w:tab w:val="center" w:pos="4153"/>
        <w:tab w:val="right" w:pos="8306"/>
      </w:tabs>
      <w:snapToGrid w:val="0"/>
    </w:pPr>
    <w:rPr>
      <w:sz w:val="18"/>
      <w:szCs w:val="18"/>
    </w:rPr>
  </w:style>
  <w:style w:type="paragraph" w:styleId="8">
    <w:name w:val="header"/>
    <w:basedOn w:val="1"/>
    <w:link w:val="20"/>
    <w:autoRedefine/>
    <w:unhideWhenUsed/>
    <w:qFormat/>
    <w:uiPriority w:val="99"/>
    <w:pP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annotation subject"/>
    <w:basedOn w:val="4"/>
    <w:next w:val="4"/>
    <w:link w:val="26"/>
    <w:semiHidden/>
    <w:unhideWhenUsed/>
    <w:qFormat/>
    <w:uiPriority w:val="99"/>
    <w:rPr>
      <w:b/>
      <w:bCs/>
    </w:rPr>
  </w:style>
  <w:style w:type="table" w:styleId="13">
    <w:name w:val="Table Grid"/>
    <w:basedOn w:val="1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rPr>
  </w:style>
  <w:style w:type="character" w:styleId="16">
    <w:name w:val="page number"/>
    <w:qFormat/>
    <w:uiPriority w:val="99"/>
  </w:style>
  <w:style w:type="character" w:styleId="17">
    <w:name w:val="Emphasis"/>
    <w:basedOn w:val="14"/>
    <w:qFormat/>
    <w:uiPriority w:val="20"/>
    <w:rPr>
      <w:i/>
    </w:rPr>
  </w:style>
  <w:style w:type="character" w:styleId="18">
    <w:name w:val="Hyperlink"/>
    <w:basedOn w:val="14"/>
    <w:unhideWhenUsed/>
    <w:qFormat/>
    <w:uiPriority w:val="99"/>
    <w:rPr>
      <w:color w:val="0563C1" w:themeColor="hyperlink"/>
      <w:u w:val="single"/>
      <w14:textFill>
        <w14:solidFill>
          <w14:schemeClr w14:val="hlink"/>
        </w14:solidFill>
      </w14:textFill>
    </w:rPr>
  </w:style>
  <w:style w:type="character" w:styleId="19">
    <w:name w:val="annotation reference"/>
    <w:basedOn w:val="14"/>
    <w:semiHidden/>
    <w:unhideWhenUsed/>
    <w:qFormat/>
    <w:uiPriority w:val="99"/>
    <w:rPr>
      <w:sz w:val="21"/>
      <w:szCs w:val="21"/>
    </w:rPr>
  </w:style>
  <w:style w:type="character" w:customStyle="1" w:styleId="20">
    <w:name w:val="页眉 Char"/>
    <w:basedOn w:val="14"/>
    <w:link w:val="8"/>
    <w:qFormat/>
    <w:uiPriority w:val="99"/>
    <w:rPr>
      <w:sz w:val="18"/>
      <w:szCs w:val="18"/>
    </w:rPr>
  </w:style>
  <w:style w:type="character" w:customStyle="1" w:styleId="21">
    <w:name w:val="页脚 Char"/>
    <w:basedOn w:val="14"/>
    <w:link w:val="7"/>
    <w:qFormat/>
    <w:uiPriority w:val="99"/>
    <w:rPr>
      <w:sz w:val="18"/>
      <w:szCs w:val="18"/>
    </w:rPr>
  </w:style>
  <w:style w:type="character" w:customStyle="1" w:styleId="22">
    <w:name w:val="正文文本缩进 Char"/>
    <w:basedOn w:val="14"/>
    <w:link w:val="5"/>
    <w:qFormat/>
    <w:uiPriority w:val="0"/>
    <w:rPr>
      <w:rFonts w:ascii="Times New Roman" w:hAnsi="Times New Roman" w:eastAsia="仿宋_GB2312" w:cs="Times New Roman"/>
      <w:sz w:val="28"/>
      <w:szCs w:val="20"/>
    </w:rPr>
  </w:style>
  <w:style w:type="paragraph" w:styleId="23">
    <w:name w:val="List Paragraph"/>
    <w:basedOn w:val="1"/>
    <w:qFormat/>
    <w:uiPriority w:val="34"/>
    <w:pPr>
      <w:ind w:firstLine="420" w:firstLineChars="200"/>
    </w:pPr>
  </w:style>
  <w:style w:type="character" w:customStyle="1" w:styleId="24">
    <w:name w:val="批注框文本 Char"/>
    <w:basedOn w:val="14"/>
    <w:link w:val="6"/>
    <w:semiHidden/>
    <w:qFormat/>
    <w:uiPriority w:val="99"/>
    <w:rPr>
      <w:rFonts w:ascii="Times New Roman" w:hAnsi="Times New Roman" w:eastAsia="宋体" w:cs="Times New Roman"/>
      <w:sz w:val="18"/>
      <w:szCs w:val="18"/>
    </w:rPr>
  </w:style>
  <w:style w:type="character" w:customStyle="1" w:styleId="25">
    <w:name w:val="批注文字 Char"/>
    <w:basedOn w:val="14"/>
    <w:link w:val="4"/>
    <w:semiHidden/>
    <w:uiPriority w:val="99"/>
    <w:rPr>
      <w:kern w:val="2"/>
      <w:sz w:val="21"/>
      <w:szCs w:val="24"/>
    </w:rPr>
  </w:style>
  <w:style w:type="character" w:customStyle="1" w:styleId="26">
    <w:name w:val="批注主题 Char"/>
    <w:basedOn w:val="25"/>
    <w:link w:val="11"/>
    <w:semiHidden/>
    <w:qFormat/>
    <w:uiPriority w:val="99"/>
    <w:rPr>
      <w:b/>
      <w:bCs/>
      <w:kern w:val="2"/>
      <w:sz w:val="21"/>
      <w:szCs w:val="24"/>
    </w:rPr>
  </w:style>
  <w:style w:type="paragraph" w:customStyle="1" w:styleId="27">
    <w:name w:val="修订1"/>
    <w:hidden/>
    <w:unhideWhenUsed/>
    <w:uiPriority w:val="99"/>
    <w:rPr>
      <w:rFonts w:ascii="Times New Roman" w:hAnsi="Times New Roman" w:eastAsia="宋体" w:cs="Times New Roman"/>
      <w:kern w:val="2"/>
      <w:sz w:val="21"/>
      <w:szCs w:val="24"/>
      <w:lang w:val="en-US" w:eastAsia="zh-CN" w:bidi="ar-SA"/>
    </w:rPr>
  </w:style>
  <w:style w:type="character" w:customStyle="1" w:styleId="28">
    <w:name w:val="标题 1 Char"/>
    <w:basedOn w:val="14"/>
    <w:link w:val="2"/>
    <w:qFormat/>
    <w:uiPriority w:val="9"/>
    <w:rPr>
      <w:b/>
      <w:bCs/>
      <w:kern w:val="44"/>
      <w:sz w:val="44"/>
      <w:szCs w:val="44"/>
    </w:rPr>
  </w:style>
  <w:style w:type="paragraph" w:customStyle="1" w:styleId="29">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0">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BE1C1-9E9C-4489-B3E6-E432F26AA4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1074</Words>
  <Characters>6124</Characters>
  <Lines>51</Lines>
  <Paragraphs>14</Paragraphs>
  <TotalTime>50</TotalTime>
  <ScaleCrop>false</ScaleCrop>
  <LinksUpToDate>false</LinksUpToDate>
  <CharactersWithSpaces>7184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2023-11-15T06:22:00Z</dcterms:created>
  <dc:creator>林</dc:creator>
  <cp:lastModifiedBy>刘娜</cp:lastModifiedBy>
  <cp:lastPrinted>2024-01-17T00:45:55Z</cp:lastPrinted>
  <dcterms:modified xsi:type="dcterms:W3CDTF">2024-01-17T00:45:57Z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8413FA509F6B4AAF89595D32B60FC762_13</vt:lpwstr>
  </property>
  <property fmtid="{D5CDD505-2E9C-101B-9397-08002B2CF9AE}" pid="4" name="GrammarlyDocumentId">
    <vt:lpwstr>006e13342ef4d0fde9203b9b79bf847eedf3fa7f495296aeedb18447cd88c3f2</vt:lpwstr>
  </property>
</Properties>
</file>