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napToGrid w:val="0"/>
        <w:spacing w:line="288" w:lineRule="auto"/>
        <w:jc w:val="center"/>
        <w:rPr>
          <w:rFonts w:ascii="黑体" w:hAnsi="黑体" w:eastAsia="黑体" w:cs="黑体"/>
          <w:b/>
          <w:bCs/>
          <w:sz w:val="56"/>
          <w:szCs w:val="56"/>
          <w:highlight w:val="none"/>
        </w:rPr>
      </w:pPr>
    </w:p>
    <w:p>
      <w:pPr>
        <w:snapToGrid w:val="0"/>
        <w:spacing w:line="288" w:lineRule="auto"/>
        <w:jc w:val="center"/>
        <w:rPr>
          <w:rFonts w:ascii="黑体" w:hAnsi="黑体" w:eastAsia="黑体" w:cs="黑体"/>
          <w:b/>
          <w:bCs/>
          <w:sz w:val="56"/>
          <w:szCs w:val="56"/>
          <w:highlight w:val="none"/>
        </w:rPr>
      </w:pPr>
    </w:p>
    <w:p>
      <w:pPr>
        <w:snapToGrid w:val="0"/>
        <w:spacing w:line="288" w:lineRule="auto"/>
        <w:jc w:val="center"/>
        <w:rPr>
          <w:rFonts w:hint="eastAsia" w:ascii="黑体" w:hAnsi="黑体" w:eastAsia="黑体" w:cs="黑体"/>
          <w:b/>
          <w:bCs/>
          <w:sz w:val="56"/>
          <w:szCs w:val="56"/>
          <w:highlight w:val="none"/>
        </w:rPr>
      </w:pPr>
      <w:r>
        <w:rPr>
          <w:rFonts w:hint="eastAsia" w:ascii="黑体" w:hAnsi="黑体" w:eastAsia="黑体" w:cs="黑体"/>
          <w:b/>
          <w:bCs/>
          <w:sz w:val="56"/>
          <w:szCs w:val="56"/>
          <w:highlight w:val="none"/>
          <w:lang w:eastAsia="zh-CN"/>
        </w:rPr>
        <w:t>化妆品原料</w:t>
      </w:r>
      <w:r>
        <w:rPr>
          <w:rFonts w:hint="eastAsia" w:ascii="黑体" w:hAnsi="黑体" w:eastAsia="黑体" w:cs="黑体"/>
          <w:b/>
          <w:bCs/>
          <w:sz w:val="56"/>
          <w:szCs w:val="56"/>
          <w:highlight w:val="none"/>
        </w:rPr>
        <w:t>免疫毒性试验</w:t>
      </w:r>
    </w:p>
    <w:p>
      <w:pPr>
        <w:snapToGrid w:val="0"/>
        <w:spacing w:line="288" w:lineRule="auto"/>
        <w:jc w:val="center"/>
        <w:rPr>
          <w:rFonts w:ascii="黑体" w:hAnsi="黑体" w:eastAsia="黑体" w:cs="黑体"/>
          <w:b/>
          <w:bCs/>
          <w:sz w:val="52"/>
          <w:szCs w:val="52"/>
          <w:highlight w:val="none"/>
        </w:rPr>
      </w:pPr>
      <w:r>
        <w:rPr>
          <w:rFonts w:hint="eastAsia" w:ascii="黑体" w:hAnsi="黑体" w:eastAsia="黑体" w:cs="黑体"/>
          <w:b/>
          <w:bCs/>
          <w:sz w:val="56"/>
          <w:szCs w:val="56"/>
          <w:highlight w:val="none"/>
          <w:lang w:eastAsia="zh-CN"/>
        </w:rPr>
        <w:t>研究</w:t>
      </w:r>
      <w:r>
        <w:rPr>
          <w:rFonts w:hint="eastAsia" w:ascii="黑体" w:hAnsi="黑体" w:eastAsia="黑体" w:cs="黑体"/>
          <w:b/>
          <w:bCs/>
          <w:sz w:val="56"/>
          <w:szCs w:val="56"/>
          <w:highlight w:val="none"/>
        </w:rPr>
        <w:t>技术指导原则</w:t>
      </w:r>
    </w:p>
    <w:p>
      <w:pPr>
        <w:snapToGrid w:val="0"/>
        <w:spacing w:line="288" w:lineRule="auto"/>
        <w:jc w:val="center"/>
        <w:rPr>
          <w:rFonts w:ascii="黑体" w:hAnsi="黑体" w:eastAsia="黑体" w:cs="黑体"/>
          <w:b/>
          <w:bCs/>
          <w:sz w:val="48"/>
          <w:szCs w:val="48"/>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Times New Roman" w:hAnsi="Times New Roman" w:eastAsia="楷体"/>
          <w:sz w:val="44"/>
          <w:szCs w:val="44"/>
          <w:highlight w:val="none"/>
        </w:rPr>
      </w:pPr>
      <w:r>
        <w:rPr>
          <w:rFonts w:ascii="Times New Roman" w:hAnsi="Times New Roman" w:eastAsia="楷体"/>
          <w:sz w:val="44"/>
          <w:szCs w:val="44"/>
          <w:highlight w:val="none"/>
        </w:rPr>
        <w:t>中国食品药品检定研究院</w:t>
      </w:r>
    </w:p>
    <w:p>
      <w:pPr>
        <w:snapToGrid w:val="0"/>
        <w:spacing w:line="360" w:lineRule="auto"/>
        <w:jc w:val="center"/>
        <w:rPr>
          <w:rFonts w:ascii="仿宋" w:hAnsi="仿宋" w:eastAsia="仿宋" w:cs="仿宋"/>
          <w:sz w:val="44"/>
          <w:szCs w:val="44"/>
          <w:highlight w:val="none"/>
        </w:rPr>
      </w:pPr>
    </w:p>
    <w:p>
      <w:pPr>
        <w:jc w:val="center"/>
        <w:rPr>
          <w:rFonts w:ascii="黑体" w:hAnsi="黑体" w:eastAsia="黑体" w:cs="黑体"/>
          <w:b/>
          <w:bCs/>
          <w:sz w:val="36"/>
          <w:szCs w:val="4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目</w:t>
      </w:r>
      <w:r>
        <w:rPr>
          <w:rFonts w:ascii="黑体" w:hAnsi="黑体" w:eastAsia="黑体" w:cs="黑体"/>
          <w:b/>
          <w:bCs/>
          <w:sz w:val="30"/>
          <w:szCs w:val="30"/>
          <w:highlight w:val="none"/>
        </w:rPr>
        <w:t xml:space="preserve">  </w:t>
      </w:r>
      <w:r>
        <w:rPr>
          <w:rFonts w:hint="eastAsia" w:ascii="黑体" w:hAnsi="黑体" w:eastAsia="黑体" w:cs="黑体"/>
          <w:b/>
          <w:bCs/>
          <w:sz w:val="30"/>
          <w:szCs w:val="30"/>
          <w:highlight w:val="none"/>
        </w:rPr>
        <w:t>录</w:t>
      </w:r>
    </w:p>
    <w:p>
      <w:pPr>
        <w:jc w:val="center"/>
        <w:rPr>
          <w:rFonts w:ascii="黑体" w:hAnsi="黑体" w:eastAsia="黑体" w:cs="黑体"/>
          <w:b/>
          <w:bCs/>
          <w:sz w:val="30"/>
          <w:szCs w:val="30"/>
          <w:highlight w:val="none"/>
        </w:rPr>
      </w:pP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TOC \o "1-4" \h \u </w:instrText>
      </w:r>
      <w:r>
        <w:rPr>
          <w:rFonts w:ascii="黑体" w:hAnsi="黑体" w:eastAsia="黑体"/>
          <w:sz w:val="24"/>
          <w:szCs w:val="24"/>
          <w:highlight w:val="none"/>
        </w:rPr>
        <w:fldChar w:fldCharType="separate"/>
      </w: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_Toc12677 </w:instrText>
      </w:r>
      <w:r>
        <w:rPr>
          <w:rFonts w:ascii="黑体" w:hAnsi="黑体" w:eastAsia="黑体"/>
          <w:sz w:val="24"/>
          <w:szCs w:val="24"/>
          <w:highlight w:val="none"/>
        </w:rPr>
        <w:fldChar w:fldCharType="separate"/>
      </w:r>
      <w:r>
        <w:rPr>
          <w:rFonts w:hint="eastAsia" w:ascii="黑体" w:hAnsi="黑体" w:eastAsia="黑体" w:cs="黑体"/>
          <w:sz w:val="24"/>
          <w:szCs w:val="24"/>
          <w:highlight w:val="none"/>
        </w:rPr>
        <w:t>一、概述</w:t>
      </w:r>
      <w:r>
        <w:rPr>
          <w:sz w:val="24"/>
          <w:szCs w:val="24"/>
        </w:rPr>
        <w:tab/>
      </w:r>
      <w:r>
        <w:rPr>
          <w:sz w:val="24"/>
          <w:szCs w:val="24"/>
        </w:rPr>
        <w:fldChar w:fldCharType="begin"/>
      </w:r>
      <w:r>
        <w:rPr>
          <w:sz w:val="24"/>
          <w:szCs w:val="24"/>
        </w:rPr>
        <w:instrText xml:space="preserve"> PAGEREF _Toc12677 \h </w:instrText>
      </w:r>
      <w:r>
        <w:rPr>
          <w:sz w:val="24"/>
          <w:szCs w:val="24"/>
        </w:rPr>
        <w:fldChar w:fldCharType="separate"/>
      </w:r>
      <w:r>
        <w:rPr>
          <w:sz w:val="24"/>
          <w:szCs w:val="24"/>
        </w:rPr>
        <w:t>1</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_Toc10041 </w:instrText>
      </w:r>
      <w:r>
        <w:rPr>
          <w:rFonts w:ascii="黑体" w:hAnsi="黑体" w:eastAsia="黑体"/>
          <w:sz w:val="24"/>
          <w:szCs w:val="24"/>
          <w:highlight w:val="none"/>
        </w:rPr>
        <w:fldChar w:fldCharType="separate"/>
      </w:r>
      <w:r>
        <w:rPr>
          <w:rFonts w:hint="eastAsia" w:ascii="黑体" w:hAnsi="黑体" w:eastAsia="黑体" w:cs="黑体"/>
          <w:sz w:val="24"/>
          <w:szCs w:val="24"/>
          <w:highlight w:val="none"/>
        </w:rPr>
        <w:t>二、基本原则</w:t>
      </w:r>
      <w:r>
        <w:rPr>
          <w:sz w:val="24"/>
          <w:szCs w:val="24"/>
        </w:rPr>
        <w:tab/>
      </w:r>
      <w:r>
        <w:rPr>
          <w:sz w:val="24"/>
          <w:szCs w:val="24"/>
        </w:rPr>
        <w:fldChar w:fldCharType="begin"/>
      </w:r>
      <w:r>
        <w:rPr>
          <w:sz w:val="24"/>
          <w:szCs w:val="24"/>
        </w:rPr>
        <w:instrText xml:space="preserve"> PAGEREF _Toc10041 \h </w:instrText>
      </w:r>
      <w:r>
        <w:rPr>
          <w:sz w:val="24"/>
          <w:szCs w:val="24"/>
        </w:rPr>
        <w:fldChar w:fldCharType="separate"/>
      </w:r>
      <w:r>
        <w:rPr>
          <w:sz w:val="24"/>
          <w:szCs w:val="24"/>
        </w:rPr>
        <w:t>1</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_Toc24959 </w:instrText>
      </w:r>
      <w:r>
        <w:rPr>
          <w:rFonts w:ascii="黑体" w:hAnsi="黑体" w:eastAsia="黑体"/>
          <w:sz w:val="24"/>
          <w:szCs w:val="24"/>
          <w:highlight w:val="none"/>
        </w:rPr>
        <w:fldChar w:fldCharType="separate"/>
      </w:r>
      <w:r>
        <w:rPr>
          <w:rFonts w:hint="eastAsia" w:ascii="仿宋" w:hAnsi="仿宋" w:eastAsia="仿宋" w:cs="仿宋"/>
          <w:sz w:val="24"/>
          <w:szCs w:val="24"/>
          <w:highlight w:val="none"/>
        </w:rPr>
        <w:t>（一）一般原则</w:t>
      </w:r>
      <w:r>
        <w:rPr>
          <w:sz w:val="24"/>
          <w:szCs w:val="24"/>
        </w:rPr>
        <w:tab/>
      </w:r>
      <w:r>
        <w:rPr>
          <w:sz w:val="24"/>
          <w:szCs w:val="24"/>
        </w:rPr>
        <w:fldChar w:fldCharType="begin"/>
      </w:r>
      <w:r>
        <w:rPr>
          <w:sz w:val="24"/>
          <w:szCs w:val="24"/>
        </w:rPr>
        <w:instrText xml:space="preserve"> PAGEREF _Toc24959 \h </w:instrText>
      </w:r>
      <w:r>
        <w:rPr>
          <w:sz w:val="24"/>
          <w:szCs w:val="24"/>
        </w:rPr>
        <w:fldChar w:fldCharType="separate"/>
      </w:r>
      <w:r>
        <w:rPr>
          <w:sz w:val="24"/>
          <w:szCs w:val="24"/>
        </w:rPr>
        <w:t>1</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_Toc7354 </w:instrText>
      </w:r>
      <w:r>
        <w:rPr>
          <w:rFonts w:ascii="黑体" w:hAnsi="黑体" w:eastAsia="黑体"/>
          <w:sz w:val="24"/>
          <w:szCs w:val="24"/>
          <w:highlight w:val="none"/>
        </w:rPr>
        <w:fldChar w:fldCharType="separate"/>
      </w:r>
      <w:r>
        <w:rPr>
          <w:rFonts w:hint="eastAsia" w:ascii="仿宋" w:hAnsi="仿宋" w:eastAsia="仿宋" w:cs="仿宋"/>
          <w:sz w:val="24"/>
          <w:szCs w:val="24"/>
          <w:highlight w:val="none"/>
        </w:rPr>
        <w:t>（二）具体问题具体分析</w:t>
      </w:r>
      <w:r>
        <w:rPr>
          <w:sz w:val="24"/>
          <w:szCs w:val="24"/>
        </w:rPr>
        <w:tab/>
      </w:r>
      <w:r>
        <w:rPr>
          <w:sz w:val="24"/>
          <w:szCs w:val="24"/>
        </w:rPr>
        <w:fldChar w:fldCharType="begin"/>
      </w:r>
      <w:r>
        <w:rPr>
          <w:sz w:val="24"/>
          <w:szCs w:val="24"/>
        </w:rPr>
        <w:instrText xml:space="preserve"> PAGEREF _Toc7354 \h </w:instrText>
      </w:r>
      <w:r>
        <w:rPr>
          <w:sz w:val="24"/>
          <w:szCs w:val="24"/>
        </w:rPr>
        <w:fldChar w:fldCharType="separate"/>
      </w:r>
      <w:r>
        <w:rPr>
          <w:sz w:val="24"/>
          <w:szCs w:val="24"/>
        </w:rPr>
        <w:t>2</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_Toc14419 </w:instrText>
      </w:r>
      <w:r>
        <w:rPr>
          <w:rFonts w:ascii="黑体" w:hAnsi="黑体" w:eastAsia="黑体"/>
          <w:sz w:val="24"/>
          <w:szCs w:val="24"/>
          <w:highlight w:val="none"/>
        </w:rPr>
        <w:fldChar w:fldCharType="separate"/>
      </w:r>
      <w:r>
        <w:rPr>
          <w:rFonts w:hint="eastAsia" w:ascii="仿宋" w:hAnsi="仿宋" w:eastAsia="仿宋" w:cs="仿宋"/>
          <w:sz w:val="24"/>
          <w:szCs w:val="24"/>
          <w:highlight w:val="none"/>
        </w:rPr>
        <w:t>（三）试验研究策略</w:t>
      </w:r>
      <w:r>
        <w:rPr>
          <w:sz w:val="24"/>
          <w:szCs w:val="24"/>
        </w:rPr>
        <w:tab/>
      </w:r>
      <w:r>
        <w:rPr>
          <w:sz w:val="24"/>
          <w:szCs w:val="24"/>
        </w:rPr>
        <w:fldChar w:fldCharType="begin"/>
      </w:r>
      <w:r>
        <w:rPr>
          <w:sz w:val="24"/>
          <w:szCs w:val="24"/>
        </w:rPr>
        <w:instrText xml:space="preserve"> PAGEREF _Toc14419 \h </w:instrText>
      </w:r>
      <w:r>
        <w:rPr>
          <w:sz w:val="24"/>
          <w:szCs w:val="24"/>
        </w:rPr>
        <w:fldChar w:fldCharType="separate"/>
      </w:r>
      <w:r>
        <w:rPr>
          <w:sz w:val="24"/>
          <w:szCs w:val="24"/>
        </w:rPr>
        <w:t>2</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_Toc6998 </w:instrText>
      </w:r>
      <w:r>
        <w:rPr>
          <w:rFonts w:ascii="黑体" w:hAnsi="黑体" w:eastAsia="黑体"/>
          <w:sz w:val="24"/>
          <w:szCs w:val="24"/>
          <w:highlight w:val="none"/>
        </w:rPr>
        <w:fldChar w:fldCharType="separate"/>
      </w:r>
      <w:r>
        <w:rPr>
          <w:rFonts w:hint="eastAsia" w:ascii="黑体" w:hAnsi="黑体" w:eastAsia="黑体" w:cs="黑体"/>
          <w:sz w:val="24"/>
          <w:szCs w:val="24"/>
          <w:highlight w:val="none"/>
        </w:rPr>
        <w:t>三、基本内容</w:t>
      </w:r>
      <w:r>
        <w:rPr>
          <w:sz w:val="24"/>
          <w:szCs w:val="24"/>
        </w:rPr>
        <w:tab/>
      </w:r>
      <w:r>
        <w:rPr>
          <w:sz w:val="24"/>
          <w:szCs w:val="24"/>
        </w:rPr>
        <w:fldChar w:fldCharType="begin"/>
      </w:r>
      <w:r>
        <w:rPr>
          <w:sz w:val="24"/>
          <w:szCs w:val="24"/>
        </w:rPr>
        <w:instrText xml:space="preserve"> PAGEREF _Toc6998 \h </w:instrText>
      </w:r>
      <w:r>
        <w:rPr>
          <w:sz w:val="24"/>
          <w:szCs w:val="24"/>
        </w:rPr>
        <w:fldChar w:fldCharType="separate"/>
      </w:r>
      <w:r>
        <w:rPr>
          <w:sz w:val="24"/>
          <w:szCs w:val="24"/>
        </w:rPr>
        <w:t>2</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_Toc14295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（一）免疫毒性评价应考虑的因素</w:t>
      </w:r>
      <w:r>
        <w:rPr>
          <w:sz w:val="24"/>
          <w:szCs w:val="24"/>
        </w:rPr>
        <w:tab/>
      </w:r>
      <w:r>
        <w:rPr>
          <w:sz w:val="24"/>
          <w:szCs w:val="24"/>
        </w:rPr>
        <w:fldChar w:fldCharType="begin"/>
      </w:r>
      <w:r>
        <w:rPr>
          <w:sz w:val="24"/>
          <w:szCs w:val="24"/>
        </w:rPr>
        <w:instrText xml:space="preserve"> PAGEREF _Toc14295 \h </w:instrText>
      </w:r>
      <w:r>
        <w:rPr>
          <w:sz w:val="24"/>
          <w:szCs w:val="24"/>
        </w:rPr>
        <w:fldChar w:fldCharType="separate"/>
      </w:r>
      <w:r>
        <w:rPr>
          <w:sz w:val="24"/>
          <w:szCs w:val="24"/>
        </w:rPr>
        <w:t>2</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_Toc7402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（二）证据权重分析</w:t>
      </w:r>
      <w:r>
        <w:rPr>
          <w:sz w:val="24"/>
          <w:szCs w:val="24"/>
        </w:rPr>
        <w:tab/>
      </w:r>
      <w:r>
        <w:rPr>
          <w:sz w:val="24"/>
          <w:szCs w:val="24"/>
        </w:rPr>
        <w:fldChar w:fldCharType="begin"/>
      </w:r>
      <w:r>
        <w:rPr>
          <w:sz w:val="24"/>
          <w:szCs w:val="24"/>
        </w:rPr>
        <w:instrText xml:space="preserve"> PAGEREF _Toc7402 \h </w:instrText>
      </w:r>
      <w:r>
        <w:rPr>
          <w:sz w:val="24"/>
          <w:szCs w:val="24"/>
        </w:rPr>
        <w:fldChar w:fldCharType="separate"/>
      </w:r>
      <w:r>
        <w:rPr>
          <w:sz w:val="24"/>
          <w:szCs w:val="24"/>
        </w:rPr>
        <w:t>3</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_Toc23649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（三）</w:t>
      </w:r>
      <w:r>
        <w:rPr>
          <w:rFonts w:hint="eastAsia" w:ascii="仿宋" w:hAnsi="仿宋" w:eastAsia="仿宋" w:cs="仿宋"/>
          <w:sz w:val="24"/>
          <w:szCs w:val="24"/>
          <w:highlight w:val="none"/>
        </w:rPr>
        <w:t>初始筛选免疫毒性试验</w:t>
      </w:r>
      <w:r>
        <w:rPr>
          <w:sz w:val="24"/>
          <w:szCs w:val="24"/>
        </w:rPr>
        <w:tab/>
      </w:r>
      <w:r>
        <w:rPr>
          <w:sz w:val="24"/>
          <w:szCs w:val="24"/>
        </w:rPr>
        <w:fldChar w:fldCharType="begin"/>
      </w:r>
      <w:r>
        <w:rPr>
          <w:sz w:val="24"/>
          <w:szCs w:val="24"/>
        </w:rPr>
        <w:instrText xml:space="preserve"> PAGEREF _Toc23649 \h </w:instrText>
      </w:r>
      <w:r>
        <w:rPr>
          <w:sz w:val="24"/>
          <w:szCs w:val="24"/>
        </w:rPr>
        <w:fldChar w:fldCharType="separate"/>
      </w:r>
      <w:r>
        <w:rPr>
          <w:sz w:val="24"/>
          <w:szCs w:val="24"/>
        </w:rPr>
        <w:t>3</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_Toc13974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（四）附加免疫毒性试验设计及方法选择</w:t>
      </w:r>
      <w:r>
        <w:rPr>
          <w:sz w:val="24"/>
          <w:szCs w:val="24"/>
        </w:rPr>
        <w:tab/>
      </w:r>
      <w:r>
        <w:rPr>
          <w:sz w:val="24"/>
          <w:szCs w:val="24"/>
        </w:rPr>
        <w:fldChar w:fldCharType="begin"/>
      </w:r>
      <w:r>
        <w:rPr>
          <w:sz w:val="24"/>
          <w:szCs w:val="24"/>
        </w:rPr>
        <w:instrText xml:space="preserve"> PAGEREF _Toc13974 \h </w:instrText>
      </w:r>
      <w:r>
        <w:rPr>
          <w:sz w:val="24"/>
          <w:szCs w:val="24"/>
        </w:rPr>
        <w:fldChar w:fldCharType="separate"/>
      </w:r>
      <w:r>
        <w:rPr>
          <w:sz w:val="24"/>
          <w:szCs w:val="24"/>
        </w:rPr>
        <w:t>5</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_Toc28692 </w:instrText>
      </w:r>
      <w:r>
        <w:rPr>
          <w:rFonts w:ascii="黑体" w:hAnsi="黑体" w:eastAsia="黑体"/>
          <w:sz w:val="24"/>
          <w:szCs w:val="24"/>
          <w:highlight w:val="none"/>
        </w:rPr>
        <w:fldChar w:fldCharType="separate"/>
      </w:r>
      <w:r>
        <w:rPr>
          <w:rFonts w:hint="eastAsia" w:ascii="黑体" w:hAnsi="黑体" w:eastAsia="黑体" w:cs="黑体"/>
          <w:sz w:val="24"/>
          <w:szCs w:val="24"/>
          <w:highlight w:val="none"/>
        </w:rPr>
        <w:t>四、免疫毒性评价要点</w:t>
      </w:r>
      <w:r>
        <w:rPr>
          <w:sz w:val="24"/>
          <w:szCs w:val="24"/>
        </w:rPr>
        <w:tab/>
      </w:r>
      <w:r>
        <w:rPr>
          <w:sz w:val="24"/>
          <w:szCs w:val="24"/>
        </w:rPr>
        <w:fldChar w:fldCharType="begin"/>
      </w:r>
      <w:r>
        <w:rPr>
          <w:sz w:val="24"/>
          <w:szCs w:val="24"/>
        </w:rPr>
        <w:instrText xml:space="preserve"> PAGEREF _Toc28692 \h </w:instrText>
      </w:r>
      <w:r>
        <w:rPr>
          <w:sz w:val="24"/>
          <w:szCs w:val="24"/>
        </w:rPr>
        <w:fldChar w:fldCharType="separate"/>
      </w:r>
      <w:r>
        <w:rPr>
          <w:sz w:val="24"/>
          <w:szCs w:val="24"/>
        </w:rPr>
        <w:t>8</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_Toc30068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（一）免疫抑制</w:t>
      </w:r>
      <w:r>
        <w:rPr>
          <w:sz w:val="24"/>
          <w:szCs w:val="24"/>
        </w:rPr>
        <w:tab/>
      </w:r>
      <w:r>
        <w:rPr>
          <w:sz w:val="24"/>
          <w:szCs w:val="24"/>
        </w:rPr>
        <w:fldChar w:fldCharType="begin"/>
      </w:r>
      <w:r>
        <w:rPr>
          <w:sz w:val="24"/>
          <w:szCs w:val="24"/>
        </w:rPr>
        <w:instrText xml:space="preserve"> PAGEREF _Toc30068 \h </w:instrText>
      </w:r>
      <w:r>
        <w:rPr>
          <w:sz w:val="24"/>
          <w:szCs w:val="24"/>
        </w:rPr>
        <w:fldChar w:fldCharType="separate"/>
      </w:r>
      <w:r>
        <w:rPr>
          <w:sz w:val="24"/>
          <w:szCs w:val="24"/>
        </w:rPr>
        <w:t>8</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_Toc28985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（二）免疫刺激</w:t>
      </w:r>
      <w:r>
        <w:rPr>
          <w:sz w:val="24"/>
          <w:szCs w:val="24"/>
        </w:rPr>
        <w:tab/>
      </w:r>
      <w:r>
        <w:rPr>
          <w:sz w:val="24"/>
          <w:szCs w:val="24"/>
        </w:rPr>
        <w:fldChar w:fldCharType="begin"/>
      </w:r>
      <w:r>
        <w:rPr>
          <w:sz w:val="24"/>
          <w:szCs w:val="24"/>
        </w:rPr>
        <w:instrText xml:space="preserve"> PAGEREF _Toc28985 \h </w:instrText>
      </w:r>
      <w:r>
        <w:rPr>
          <w:sz w:val="24"/>
          <w:szCs w:val="24"/>
        </w:rPr>
        <w:fldChar w:fldCharType="separate"/>
      </w:r>
      <w:r>
        <w:rPr>
          <w:sz w:val="24"/>
          <w:szCs w:val="24"/>
        </w:rPr>
        <w:t>9</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_Toc13808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（三）超敏反应</w:t>
      </w:r>
      <w:r>
        <w:rPr>
          <w:sz w:val="24"/>
          <w:szCs w:val="24"/>
        </w:rPr>
        <w:tab/>
      </w:r>
      <w:r>
        <w:rPr>
          <w:sz w:val="24"/>
          <w:szCs w:val="24"/>
        </w:rPr>
        <w:fldChar w:fldCharType="begin"/>
      </w:r>
      <w:r>
        <w:rPr>
          <w:sz w:val="24"/>
          <w:szCs w:val="24"/>
        </w:rPr>
        <w:instrText xml:space="preserve"> PAGEREF _Toc13808 \h </w:instrText>
      </w:r>
      <w:r>
        <w:rPr>
          <w:sz w:val="24"/>
          <w:szCs w:val="24"/>
        </w:rPr>
        <w:fldChar w:fldCharType="separate"/>
      </w:r>
      <w:r>
        <w:rPr>
          <w:sz w:val="24"/>
          <w:szCs w:val="24"/>
        </w:rPr>
        <w:t>10</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_Toc27814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（四）自身免疫</w:t>
      </w:r>
      <w:r>
        <w:rPr>
          <w:sz w:val="24"/>
          <w:szCs w:val="24"/>
        </w:rPr>
        <w:tab/>
      </w:r>
      <w:r>
        <w:rPr>
          <w:sz w:val="24"/>
          <w:szCs w:val="24"/>
        </w:rPr>
        <w:fldChar w:fldCharType="begin"/>
      </w:r>
      <w:r>
        <w:rPr>
          <w:sz w:val="24"/>
          <w:szCs w:val="24"/>
        </w:rPr>
        <w:instrText xml:space="preserve"> PAGEREF _Toc27814 \h </w:instrText>
      </w:r>
      <w:r>
        <w:rPr>
          <w:sz w:val="24"/>
          <w:szCs w:val="24"/>
        </w:rPr>
        <w:fldChar w:fldCharType="separate"/>
      </w:r>
      <w:r>
        <w:rPr>
          <w:sz w:val="24"/>
          <w:szCs w:val="24"/>
        </w:rPr>
        <w:t>10</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_Toc29471 </w:instrText>
      </w:r>
      <w:r>
        <w:rPr>
          <w:rFonts w:ascii="黑体" w:hAnsi="黑体" w:eastAsia="黑体"/>
          <w:sz w:val="24"/>
          <w:szCs w:val="24"/>
          <w:highlight w:val="none"/>
        </w:rPr>
        <w:fldChar w:fldCharType="separate"/>
      </w:r>
      <w:r>
        <w:rPr>
          <w:rFonts w:hint="eastAsia" w:ascii="仿宋" w:hAnsi="仿宋" w:eastAsia="仿宋" w:cs="仿宋"/>
          <w:bCs/>
          <w:sz w:val="24"/>
          <w:szCs w:val="24"/>
          <w:highlight w:val="none"/>
        </w:rPr>
        <w:t>（五）炎症反应</w:t>
      </w:r>
      <w:r>
        <w:rPr>
          <w:sz w:val="24"/>
          <w:szCs w:val="24"/>
        </w:rPr>
        <w:tab/>
      </w:r>
      <w:r>
        <w:rPr>
          <w:sz w:val="24"/>
          <w:szCs w:val="24"/>
        </w:rPr>
        <w:fldChar w:fldCharType="begin"/>
      </w:r>
      <w:r>
        <w:rPr>
          <w:sz w:val="24"/>
          <w:szCs w:val="24"/>
        </w:rPr>
        <w:instrText xml:space="preserve"> PAGEREF _Toc29471 \h </w:instrText>
      </w:r>
      <w:r>
        <w:rPr>
          <w:sz w:val="24"/>
          <w:szCs w:val="24"/>
        </w:rPr>
        <w:fldChar w:fldCharType="separate"/>
      </w:r>
      <w:r>
        <w:rPr>
          <w:sz w:val="24"/>
          <w:szCs w:val="24"/>
        </w:rPr>
        <w:t>11</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_Toc29781 </w:instrText>
      </w:r>
      <w:r>
        <w:rPr>
          <w:rFonts w:ascii="黑体" w:hAnsi="黑体" w:eastAsia="黑体"/>
          <w:sz w:val="24"/>
          <w:szCs w:val="24"/>
          <w:highlight w:val="none"/>
        </w:rPr>
        <w:fldChar w:fldCharType="separate"/>
      </w:r>
      <w:r>
        <w:rPr>
          <w:rFonts w:ascii="Times New Roman" w:hAnsi="Times New Roman" w:eastAsia="黑体" w:cs="Times New Roman"/>
          <w:bCs/>
          <w:sz w:val="24"/>
          <w:szCs w:val="24"/>
          <w:highlight w:val="none"/>
        </w:rPr>
        <w:t>五、</w:t>
      </w:r>
      <w:r>
        <w:rPr>
          <w:rFonts w:hint="eastAsia" w:ascii="Times New Roman" w:hAnsi="Times New Roman" w:eastAsia="黑体" w:cs="Times New Roman"/>
          <w:bCs/>
          <w:sz w:val="24"/>
          <w:szCs w:val="24"/>
          <w:highlight w:val="none"/>
        </w:rPr>
        <w:t>结果分析及评价</w:t>
      </w:r>
      <w:r>
        <w:rPr>
          <w:sz w:val="24"/>
          <w:szCs w:val="24"/>
        </w:rPr>
        <w:tab/>
      </w:r>
      <w:r>
        <w:rPr>
          <w:sz w:val="24"/>
          <w:szCs w:val="24"/>
        </w:rPr>
        <w:fldChar w:fldCharType="begin"/>
      </w:r>
      <w:r>
        <w:rPr>
          <w:sz w:val="24"/>
          <w:szCs w:val="24"/>
        </w:rPr>
        <w:instrText xml:space="preserve"> PAGEREF _Toc29781 \h </w:instrText>
      </w:r>
      <w:r>
        <w:rPr>
          <w:sz w:val="24"/>
          <w:szCs w:val="24"/>
        </w:rPr>
        <w:fldChar w:fldCharType="separate"/>
      </w:r>
      <w:r>
        <w:rPr>
          <w:sz w:val="24"/>
          <w:szCs w:val="24"/>
        </w:rPr>
        <w:t>11</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_Toc13696 </w:instrText>
      </w:r>
      <w:r>
        <w:rPr>
          <w:rFonts w:ascii="黑体" w:hAnsi="黑体" w:eastAsia="黑体"/>
          <w:sz w:val="24"/>
          <w:szCs w:val="24"/>
          <w:highlight w:val="none"/>
        </w:rPr>
        <w:fldChar w:fldCharType="separate"/>
      </w:r>
      <w:r>
        <w:rPr>
          <w:rFonts w:hint="eastAsia" w:ascii="Times New Roman" w:hAnsi="Times New Roman" w:eastAsia="黑体" w:cs="Times New Roman"/>
          <w:bCs/>
          <w:sz w:val="24"/>
          <w:szCs w:val="24"/>
          <w:highlight w:val="none"/>
        </w:rPr>
        <w:t>六、</w:t>
      </w:r>
      <w:r>
        <w:rPr>
          <w:rFonts w:ascii="Times New Roman" w:hAnsi="Times New Roman" w:eastAsia="黑体" w:cs="Times New Roman"/>
          <w:bCs/>
          <w:sz w:val="24"/>
          <w:szCs w:val="24"/>
          <w:highlight w:val="none"/>
        </w:rPr>
        <w:t>参考文献</w:t>
      </w:r>
      <w:r>
        <w:rPr>
          <w:sz w:val="24"/>
          <w:szCs w:val="24"/>
        </w:rPr>
        <w:tab/>
      </w:r>
      <w:r>
        <w:rPr>
          <w:sz w:val="24"/>
          <w:szCs w:val="24"/>
        </w:rPr>
        <w:fldChar w:fldCharType="begin"/>
      </w:r>
      <w:r>
        <w:rPr>
          <w:sz w:val="24"/>
          <w:szCs w:val="24"/>
        </w:rPr>
        <w:instrText xml:space="preserve"> PAGEREF _Toc13696 \h </w:instrText>
      </w:r>
      <w:r>
        <w:rPr>
          <w:sz w:val="24"/>
          <w:szCs w:val="24"/>
        </w:rPr>
        <w:fldChar w:fldCharType="separate"/>
      </w:r>
      <w:r>
        <w:rPr>
          <w:sz w:val="24"/>
          <w:szCs w:val="24"/>
        </w:rPr>
        <w:t>12</w:t>
      </w:r>
      <w:r>
        <w:rPr>
          <w:sz w:val="24"/>
          <w:szCs w:val="24"/>
        </w:rPr>
        <w:fldChar w:fldCharType="end"/>
      </w:r>
      <w:r>
        <w:rPr>
          <w:rFonts w:ascii="黑体" w:hAnsi="黑体" w:eastAsia="黑体"/>
          <w:sz w:val="24"/>
          <w:szCs w:val="24"/>
          <w:highlight w:val="none"/>
        </w:rPr>
        <w:fldChar w:fldCharType="end"/>
      </w:r>
    </w:p>
    <w:p>
      <w:pPr>
        <w:pStyle w:val="9"/>
        <w:tabs>
          <w:tab w:val="right" w:leader="dot" w:pos="8306"/>
        </w:tabs>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_Toc23431 </w:instrText>
      </w:r>
      <w:r>
        <w:rPr>
          <w:rFonts w:ascii="黑体" w:hAnsi="黑体" w:eastAsia="黑体"/>
          <w:sz w:val="24"/>
          <w:szCs w:val="24"/>
          <w:highlight w:val="none"/>
        </w:rPr>
        <w:fldChar w:fldCharType="separate"/>
      </w:r>
      <w:r>
        <w:rPr>
          <w:rFonts w:hint="eastAsia" w:ascii="Times New Roman" w:hAnsi="Times New Roman" w:eastAsia="黑体" w:cs="Times New Roman"/>
          <w:bCs/>
          <w:sz w:val="24"/>
          <w:szCs w:val="24"/>
          <w:highlight w:val="none"/>
        </w:rPr>
        <w:t>七</w:t>
      </w:r>
      <w:r>
        <w:rPr>
          <w:rFonts w:ascii="Times New Roman" w:hAnsi="Times New Roman" w:eastAsia="黑体" w:cs="Times New Roman"/>
          <w:bCs/>
          <w:sz w:val="24"/>
          <w:szCs w:val="24"/>
          <w:highlight w:val="none"/>
        </w:rPr>
        <w:t>、术语和释义</w:t>
      </w:r>
      <w:r>
        <w:rPr>
          <w:sz w:val="24"/>
          <w:szCs w:val="24"/>
        </w:rPr>
        <w:tab/>
      </w:r>
      <w:r>
        <w:rPr>
          <w:sz w:val="24"/>
          <w:szCs w:val="24"/>
        </w:rPr>
        <w:fldChar w:fldCharType="begin"/>
      </w:r>
      <w:r>
        <w:rPr>
          <w:sz w:val="24"/>
          <w:szCs w:val="24"/>
        </w:rPr>
        <w:instrText xml:space="preserve"> PAGEREF _Toc23431 \h </w:instrText>
      </w:r>
      <w:r>
        <w:rPr>
          <w:sz w:val="24"/>
          <w:szCs w:val="24"/>
        </w:rPr>
        <w:fldChar w:fldCharType="separate"/>
      </w:r>
      <w:r>
        <w:rPr>
          <w:sz w:val="24"/>
          <w:szCs w:val="24"/>
        </w:rPr>
        <w:t>13</w:t>
      </w:r>
      <w:r>
        <w:rPr>
          <w:sz w:val="24"/>
          <w:szCs w:val="24"/>
        </w:rPr>
        <w:fldChar w:fldCharType="end"/>
      </w:r>
      <w:r>
        <w:rPr>
          <w:rFonts w:ascii="黑体" w:hAnsi="黑体" w:eastAsia="黑体"/>
          <w:sz w:val="24"/>
          <w:szCs w:val="24"/>
          <w:highlight w:val="none"/>
        </w:rPr>
        <w:fldChar w:fldCharType="end"/>
      </w:r>
    </w:p>
    <w:p>
      <w:pPr>
        <w:rPr>
          <w:rFonts w:ascii="黑体" w:hAnsi="黑体" w:eastAsia="黑体"/>
          <w:sz w:val="24"/>
          <w:szCs w:val="24"/>
          <w:highlight w:val="none"/>
        </w:rPr>
      </w:pPr>
      <w:r>
        <w:rPr>
          <w:rFonts w:ascii="黑体" w:hAnsi="黑体" w:eastAsia="黑体"/>
          <w:sz w:val="24"/>
          <w:szCs w:val="24"/>
          <w:highlight w:val="none"/>
        </w:rPr>
        <w:fldChar w:fldCharType="end"/>
      </w:r>
    </w:p>
    <w:p>
      <w:pPr>
        <w:rPr>
          <w:rFonts w:ascii="黑体" w:hAnsi="黑体" w:eastAsia="黑体"/>
          <w:sz w:val="24"/>
          <w:szCs w:val="24"/>
          <w:highlight w:val="none"/>
        </w:rPr>
      </w:pPr>
    </w:p>
    <w:p>
      <w:pPr>
        <w:tabs>
          <w:tab w:val="left" w:pos="1661"/>
        </w:tabs>
        <w:jc w:val="left"/>
        <w:rPr>
          <w:rFonts w:hint="eastAsia" w:cstheme="minorBidi"/>
          <w:kern w:val="2"/>
          <w:sz w:val="21"/>
          <w:szCs w:val="22"/>
          <w:lang w:val="en-US" w:eastAsia="zh-CN" w:bidi="ar-SA"/>
        </w:rPr>
      </w:pPr>
      <w:r>
        <w:rPr>
          <w:rFonts w:hint="eastAsia" w:cstheme="minorBidi"/>
          <w:kern w:val="2"/>
          <w:sz w:val="21"/>
          <w:szCs w:val="22"/>
          <w:lang w:val="en-US" w:eastAsia="zh-CN" w:bidi="ar-SA"/>
        </w:rPr>
        <w:tab/>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55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ab/>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bookmarkStart w:id="0" w:name="_Toc10929"/>
      <w:bookmarkStart w:id="1" w:name="_Toc7591"/>
      <w:bookmarkStart w:id="2" w:name="_Toc13669"/>
      <w:bookmarkStart w:id="3" w:name="_Toc12677"/>
      <w:bookmarkStart w:id="4" w:name="_Toc144629256"/>
      <w:bookmarkStart w:id="5" w:name="_Toc23211"/>
      <w:bookmarkStart w:id="6" w:name="_Toc13190"/>
      <w:bookmarkStart w:id="7" w:name="_Toc5946"/>
      <w:r>
        <w:rPr>
          <w:rFonts w:hint="eastAsia" w:ascii="黑体" w:hAnsi="黑体" w:eastAsia="黑体" w:cs="黑体"/>
          <w:color w:val="000000" w:themeColor="text1"/>
          <w:sz w:val="32"/>
          <w:szCs w:val="32"/>
          <w:highlight w:val="none"/>
          <w14:textFill>
            <w14:solidFill>
              <w14:schemeClr w14:val="tx1"/>
            </w14:solidFill>
          </w14:textFill>
        </w:rPr>
        <w:t>一、概述</w:t>
      </w:r>
      <w:bookmarkEnd w:id="0"/>
      <w:bookmarkEnd w:id="1"/>
      <w:bookmarkEnd w:id="2"/>
      <w:bookmarkEnd w:id="3"/>
      <w:bookmarkEnd w:id="4"/>
      <w:bookmarkEnd w:id="5"/>
      <w:bookmarkEnd w:id="6"/>
      <w:bookmarkEnd w:id="7"/>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"https://baike.so.com/doc/5404909-5642666.html" \t "https://baike.so.com/doc/_blank"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免疫系统</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lang w:eastAsia="zh-CN"/>
          <w14:textFill>
            <w14:solidFill>
              <w14:schemeClr w14:val="tx1"/>
            </w14:solidFill>
          </w14:textFill>
        </w:rPr>
        <w:t>是</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机体执行</w:t>
      </w:r>
      <w:r>
        <w:rPr>
          <w:rFonts w:hint="eastAsia" w:ascii="仿宋" w:hAnsi="仿宋" w:eastAsia="仿宋" w:cs="仿宋"/>
          <w:i w:val="0"/>
          <w:iCs w:val="0"/>
          <w:caps w:val="0"/>
          <w:color w:val="000000" w:themeColor="text1"/>
          <w:spacing w:val="0"/>
          <w:sz w:val="32"/>
          <w:szCs w:val="32"/>
          <w:highlight w:val="none"/>
          <w:shd w:val="clear"/>
          <w:lang w:eastAsia="zh-CN"/>
          <w14:textFill>
            <w14:solidFill>
              <w14:schemeClr w14:val="tx1"/>
            </w14:solidFill>
          </w14:textFill>
        </w:rPr>
        <w:t>免疫防控及</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免疫应答的重要系统</w:t>
      </w:r>
      <w:r>
        <w:rPr>
          <w:rFonts w:hint="eastAsia" w:ascii="仿宋" w:hAnsi="仿宋" w:eastAsia="仿宋" w:cs="仿宋"/>
          <w:i w:val="0"/>
          <w:iCs w:val="0"/>
          <w:caps w:val="0"/>
          <w:color w:val="000000" w:themeColor="text1"/>
          <w:spacing w:val="0"/>
          <w:sz w:val="32"/>
          <w:szCs w:val="32"/>
          <w:highlight w:val="none"/>
          <w:shd w:val="clear"/>
          <w:lang w:eastAsia="zh-CN"/>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由免疫器官（脾脏、胸腺、扁桃体等）、免疫细胞（淋巴细胞、巨噬细胞、</w:t>
      </w:r>
      <w:r>
        <w:rPr>
          <w:rFonts w:hint="eastAsia" w:ascii="仿宋" w:hAnsi="仿宋" w:eastAsia="仿宋" w:cs="仿宋"/>
          <w:color w:val="000000" w:themeColor="text1"/>
          <w:sz w:val="32"/>
          <w:szCs w:val="32"/>
          <w:highlight w:val="none"/>
          <w:lang w:val="en-US" w:eastAsia="zh-CN"/>
          <w14:textFill>
            <w14:solidFill>
              <w14:schemeClr w14:val="tx1"/>
            </w14:solidFill>
          </w14:textFill>
        </w:rPr>
        <w:t>树突状细胞等</w:t>
      </w:r>
      <w:r>
        <w:rPr>
          <w:rFonts w:hint="eastAsia" w:ascii="仿宋" w:hAnsi="仿宋" w:eastAsia="仿宋" w:cs="仿宋"/>
          <w:color w:val="000000" w:themeColor="text1"/>
          <w:sz w:val="32"/>
          <w:szCs w:val="32"/>
          <w:highlight w:val="none"/>
          <w:lang w:eastAsia="zh-CN"/>
          <w14:textFill>
            <w14:solidFill>
              <w14:schemeClr w14:val="tx1"/>
            </w14:solidFill>
          </w14:textFill>
        </w:rPr>
        <w:t>）和免疫活性物质（抗体、细胞因子、补体等）组成</w:t>
      </w:r>
      <w:r>
        <w:rPr>
          <w:rFonts w:hint="eastAsia" w:ascii="仿宋" w:hAnsi="仿宋" w:eastAsia="仿宋" w:cs="仿宋"/>
          <w:color w:val="000000" w:themeColor="text1"/>
          <w:sz w:val="32"/>
          <w:szCs w:val="32"/>
          <w:highlight w:val="none"/>
          <w14:textFill>
            <w14:solidFill>
              <w14:schemeClr w14:val="tx1"/>
            </w14:solidFill>
          </w14:textFill>
        </w:rPr>
        <w:t>。免疫毒性是指暴露于各种环境因素（包括外源性化合物）导致的对免疫系统的任何不良影响，包括免疫失调（抑制或刺激）、超敏反应、自身免疫和慢性炎症。免疫毒性试验的目的是探讨外源性</w:t>
      </w:r>
      <w:r>
        <w:rPr>
          <w:rFonts w:hint="eastAsia" w:ascii="仿宋" w:hAnsi="仿宋" w:eastAsia="仿宋" w:cs="仿宋"/>
          <w:color w:val="000000" w:themeColor="text1"/>
          <w:sz w:val="32"/>
          <w:szCs w:val="32"/>
          <w:highlight w:val="none"/>
          <w:lang w:eastAsia="zh-CN"/>
          <w14:textFill>
            <w14:solidFill>
              <w14:schemeClr w14:val="tx1"/>
            </w14:solidFill>
          </w14:textFill>
        </w:rPr>
        <w:t>物质</w:t>
      </w:r>
      <w:r>
        <w:rPr>
          <w:rFonts w:hint="eastAsia" w:ascii="仿宋" w:hAnsi="仿宋" w:eastAsia="仿宋" w:cs="仿宋"/>
          <w:color w:val="000000" w:themeColor="text1"/>
          <w:sz w:val="32"/>
          <w:szCs w:val="32"/>
          <w:highlight w:val="none"/>
          <w14:textFill>
            <w14:solidFill>
              <w14:schemeClr w14:val="tx1"/>
            </w14:solidFill>
          </w14:textFill>
        </w:rPr>
        <w:t>对机体免疫系统产生的不良影响及机理。</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本指导原则</w:t>
      </w:r>
      <w:r>
        <w:rPr>
          <w:rFonts w:hint="eastAsia" w:ascii="仿宋" w:hAnsi="仿宋" w:eastAsia="仿宋" w:cs="仿宋"/>
          <w:color w:val="000000" w:themeColor="text1"/>
          <w:sz w:val="32"/>
          <w:szCs w:val="32"/>
          <w:highlight w:val="none"/>
          <w:lang w:eastAsia="zh-CN"/>
          <w14:textFill>
            <w14:solidFill>
              <w14:schemeClr w14:val="tx1"/>
            </w14:solidFill>
          </w14:textFill>
        </w:rPr>
        <w:t>参照人用药品注册技术要求国际协调会（ICH）</w:t>
      </w:r>
      <w:r>
        <w:rPr>
          <w:rFonts w:hint="eastAsia" w:ascii="仿宋" w:hAnsi="仿宋" w:eastAsia="仿宋" w:cs="仿宋"/>
          <w:color w:val="000000" w:themeColor="text1"/>
          <w:sz w:val="32"/>
          <w:szCs w:val="32"/>
          <w:highlight w:val="none"/>
          <w:lang w:val="en-US" w:eastAsia="zh-CN"/>
          <w14:textFill>
            <w14:solidFill>
              <w14:schemeClr w14:val="tx1"/>
            </w14:solidFill>
          </w14:textFill>
        </w:rPr>
        <w:t>《人用药物免疫毒性研究》、欧洲药品评价局（EMEA）《重复剂量毒性》等相关内容，并结合化妆品原料安全评价的特点进行制定。</w:t>
      </w:r>
      <w:r>
        <w:rPr>
          <w:rFonts w:hint="eastAsia" w:ascii="仿宋" w:hAnsi="仿宋" w:eastAsia="仿宋" w:cs="仿宋"/>
          <w:color w:val="000000" w:themeColor="text1"/>
          <w:sz w:val="32"/>
          <w:szCs w:val="32"/>
          <w:highlight w:val="none"/>
          <w14:textFill>
            <w14:solidFill>
              <w14:schemeClr w14:val="tx1"/>
            </w14:solidFill>
          </w14:textFill>
        </w:rPr>
        <w:t>本指导原则适用于可能对机体免疫系统产生不良影响的化妆品原料的免疫毒性评价</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旨在为化妆品原料的免疫毒性评价提供可供参考的试验设计及程序，并为评价方法的选择提供技术指导。</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本指导原则是在现行法规和标准以及当前科学认知水平下制定的，随着法规和标准的更新完善，以及科学技术的发展，将适时进行调整。</w:t>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bookmarkStart w:id="8" w:name="_Toc144629257"/>
      <w:bookmarkStart w:id="9" w:name="_Toc16918"/>
      <w:bookmarkStart w:id="10" w:name="_Toc6297"/>
      <w:bookmarkStart w:id="11" w:name="_Toc29973"/>
      <w:bookmarkStart w:id="12" w:name="_Toc12894"/>
      <w:bookmarkStart w:id="13" w:name="_Toc2961"/>
      <w:bookmarkStart w:id="14" w:name="_Toc10041"/>
      <w:bookmarkStart w:id="15" w:name="_Toc27252"/>
      <w:r>
        <w:rPr>
          <w:rFonts w:hint="eastAsia" w:ascii="黑体" w:hAnsi="黑体" w:eastAsia="黑体" w:cs="黑体"/>
          <w:color w:val="000000" w:themeColor="text1"/>
          <w:sz w:val="32"/>
          <w:szCs w:val="32"/>
          <w:highlight w:val="none"/>
          <w14:textFill>
            <w14:solidFill>
              <w14:schemeClr w14:val="tx1"/>
            </w14:solidFill>
          </w14:textFill>
        </w:rPr>
        <w:t>二、基本原则</w:t>
      </w:r>
      <w:bookmarkEnd w:id="8"/>
      <w:bookmarkEnd w:id="9"/>
      <w:bookmarkEnd w:id="10"/>
      <w:bookmarkEnd w:id="11"/>
      <w:bookmarkEnd w:id="12"/>
      <w:bookmarkEnd w:id="13"/>
      <w:bookmarkEnd w:id="14"/>
      <w:bookmarkEnd w:id="15"/>
    </w:p>
    <w:p>
      <w:pPr>
        <w:autoSpaceDE w:val="0"/>
        <w:autoSpaceDN w:val="0"/>
        <w:adjustRightInd w:val="0"/>
        <w:spacing w:line="360" w:lineRule="auto"/>
        <w:ind w:firstLine="643" w:firstLineChars="200"/>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16" w:name="_Toc23400"/>
      <w:bookmarkStart w:id="17" w:name="_Toc24959"/>
      <w:bookmarkStart w:id="18" w:name="_Toc144629258"/>
      <w:bookmarkStart w:id="19" w:name="_Toc25560"/>
      <w:bookmarkStart w:id="20" w:name="_Toc356"/>
      <w:bookmarkStart w:id="21" w:name="_Toc7528"/>
      <w:bookmarkStart w:id="22" w:name="_Toc26525"/>
      <w:bookmarkStart w:id="23" w:name="_Toc16356"/>
      <w:bookmarkStart w:id="24" w:name="_Toc4289"/>
      <w:bookmarkStart w:id="25" w:name="_Toc17273"/>
      <w:bookmarkStart w:id="26" w:name="_Toc15940"/>
      <w:bookmarkStart w:id="27" w:name="_Toc31879"/>
      <w:bookmarkStart w:id="28" w:name="_Toc11643"/>
      <w:bookmarkStart w:id="29" w:name="_Toc4569"/>
      <w:bookmarkStart w:id="30" w:name="_Toc20747"/>
      <w:bookmarkStart w:id="31" w:name="_Toc5877"/>
      <w:bookmarkStart w:id="32" w:name="_Toc8524"/>
      <w:bookmarkStart w:id="33" w:name="_Toc11941"/>
      <w:bookmarkStart w:id="34" w:name="_Toc20014"/>
      <w:bookmarkStart w:id="35" w:name="_Toc14185"/>
      <w:bookmarkStart w:id="36" w:name="_Toc2437"/>
      <w:r>
        <w:rPr>
          <w:rFonts w:hint="eastAsia" w:ascii="仿宋" w:hAnsi="仿宋" w:eastAsia="仿宋" w:cs="仿宋"/>
          <w:b/>
          <w:color w:val="000000" w:themeColor="text1"/>
          <w:sz w:val="32"/>
          <w:szCs w:val="32"/>
          <w:highlight w:val="none"/>
          <w14:textFill>
            <w14:solidFill>
              <w14:schemeClr w14:val="tx1"/>
            </w14:solidFill>
          </w14:textFill>
        </w:rPr>
        <w:t>（一）一般原则</w:t>
      </w:r>
      <w:bookmarkEnd w:id="16"/>
      <w:bookmarkEnd w:id="17"/>
      <w:bookmarkEnd w:id="18"/>
      <w:bookmarkEnd w:id="19"/>
      <w:bookmarkEnd w:id="20"/>
      <w:bookmarkEnd w:id="21"/>
      <w:bookmarkEnd w:id="22"/>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免疫毒性试验的设计应符合毒理学试验随机、对照、重复的基本原则，试验数据应真实、完整、准确、可追溯，试验结果统计分析应科学合理。</w:t>
      </w:r>
    </w:p>
    <w:bookmarkEnd w:id="23"/>
    <w:p>
      <w:pPr>
        <w:autoSpaceDE w:val="0"/>
        <w:autoSpaceDN w:val="0"/>
        <w:adjustRightInd w:val="0"/>
        <w:spacing w:line="360" w:lineRule="auto"/>
        <w:ind w:firstLine="643" w:firstLineChars="200"/>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37" w:name="_Toc7947"/>
      <w:bookmarkStart w:id="38" w:name="_Toc144629259"/>
      <w:bookmarkStart w:id="39" w:name="_Toc7354"/>
      <w:bookmarkStart w:id="40" w:name="_Toc27330"/>
      <w:bookmarkStart w:id="41" w:name="_Toc18687"/>
      <w:bookmarkStart w:id="42" w:name="_Toc17645"/>
      <w:bookmarkStart w:id="43" w:name="_Toc5023"/>
      <w:bookmarkStart w:id="44" w:name="_Toc8193"/>
      <w:r>
        <w:rPr>
          <w:rFonts w:hint="eastAsia" w:ascii="仿宋" w:hAnsi="仿宋" w:eastAsia="仿宋" w:cs="仿宋"/>
          <w:b/>
          <w:color w:val="000000" w:themeColor="text1"/>
          <w:sz w:val="32"/>
          <w:szCs w:val="32"/>
          <w:highlight w:val="none"/>
          <w14:textFill>
            <w14:solidFill>
              <w14:schemeClr w14:val="tx1"/>
            </w14:solidFill>
          </w14:textFill>
        </w:rPr>
        <w:t>（二）</w:t>
      </w:r>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仿宋" w:hAnsi="仿宋" w:eastAsia="仿宋" w:cs="仿宋"/>
          <w:b/>
          <w:color w:val="000000" w:themeColor="text1"/>
          <w:sz w:val="32"/>
          <w:szCs w:val="32"/>
          <w:highlight w:val="none"/>
          <w14:textFill>
            <w14:solidFill>
              <w14:schemeClr w14:val="tx1"/>
            </w14:solidFill>
          </w14:textFill>
        </w:rPr>
        <w:t>具体问题具体分析</w:t>
      </w:r>
      <w:bookmarkEnd w:id="37"/>
      <w:bookmarkEnd w:id="38"/>
      <w:bookmarkEnd w:id="39"/>
      <w:bookmarkEnd w:id="40"/>
      <w:bookmarkEnd w:id="41"/>
      <w:bookmarkEnd w:id="42"/>
      <w:bookmarkEnd w:id="43"/>
      <w:bookmarkEnd w:id="44"/>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bidi="ar"/>
          <w14:textFill>
            <w14:solidFill>
              <w14:schemeClr w14:val="tx1"/>
            </w14:solidFill>
          </w14:textFill>
        </w:rPr>
        <w:t>免疫毒性试验的设计应遵循“具体问题具体分析”的原则。根据受试物特点、现有数据、试验目的等选择合适的试验方法，设计适宜的试验方案，并结合其他毒理研究信息对试验结果进行全面的评价。</w:t>
      </w:r>
    </w:p>
    <w:p>
      <w:pPr>
        <w:autoSpaceDE w:val="0"/>
        <w:autoSpaceDN w:val="0"/>
        <w:adjustRightInd w:val="0"/>
        <w:spacing w:line="360" w:lineRule="auto"/>
        <w:ind w:firstLine="643" w:firstLineChars="200"/>
        <w:outlineLvl w:val="1"/>
        <w:rPr>
          <w:rFonts w:hint="eastAsia" w:ascii="仿宋" w:hAnsi="仿宋" w:eastAsia="仿宋" w:cs="仿宋"/>
          <w:b/>
          <w:color w:val="000000" w:themeColor="text1"/>
          <w:sz w:val="32"/>
          <w:szCs w:val="32"/>
          <w:highlight w:val="none"/>
          <w:lang w:bidi="ar"/>
          <w14:textFill>
            <w14:solidFill>
              <w14:schemeClr w14:val="tx1"/>
            </w14:solidFill>
          </w14:textFill>
        </w:rPr>
      </w:pPr>
      <w:bookmarkStart w:id="45" w:name="_Toc10566"/>
      <w:bookmarkStart w:id="46" w:name="_Toc16888"/>
      <w:bookmarkStart w:id="47" w:name="_Toc25972"/>
      <w:bookmarkStart w:id="48" w:name="_Toc7058"/>
      <w:bookmarkStart w:id="49" w:name="_Toc144629260"/>
      <w:bookmarkStart w:id="50" w:name="_Toc18593"/>
      <w:bookmarkStart w:id="51" w:name="_Toc14419"/>
      <w:r>
        <w:rPr>
          <w:rFonts w:hint="eastAsia" w:ascii="仿宋" w:hAnsi="仿宋" w:eastAsia="仿宋" w:cs="仿宋"/>
          <w:b/>
          <w:color w:val="000000" w:themeColor="text1"/>
          <w:sz w:val="32"/>
          <w:szCs w:val="32"/>
          <w:highlight w:val="none"/>
          <w14:textFill>
            <w14:solidFill>
              <w14:schemeClr w14:val="tx1"/>
            </w14:solidFill>
          </w14:textFill>
        </w:rPr>
        <w:t>（三）</w:t>
      </w:r>
      <w:bookmarkEnd w:id="45"/>
      <w:bookmarkEnd w:id="46"/>
      <w:bookmarkEnd w:id="47"/>
      <w:bookmarkEnd w:id="48"/>
      <w:r>
        <w:rPr>
          <w:rFonts w:hint="eastAsia" w:ascii="仿宋" w:hAnsi="仿宋" w:eastAsia="仿宋" w:cs="仿宋"/>
          <w:b/>
          <w:color w:val="000000" w:themeColor="text1"/>
          <w:sz w:val="32"/>
          <w:szCs w:val="32"/>
          <w:highlight w:val="none"/>
          <w14:textFill>
            <w14:solidFill>
              <w14:schemeClr w14:val="tx1"/>
            </w14:solidFill>
          </w14:textFill>
        </w:rPr>
        <w:t>试验研究策略</w:t>
      </w:r>
      <w:bookmarkEnd w:id="49"/>
      <w:bookmarkEnd w:id="50"/>
      <w:bookmarkEnd w:id="51"/>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bidi="ar"/>
          <w14:textFill>
            <w14:solidFill>
              <w14:schemeClr w14:val="tx1"/>
            </w14:solidFill>
          </w14:textFill>
        </w:rPr>
        <w:t>免疫毒性研究方法包括以非功能性试验为主的初始筛选试验以及以功能性试验为主的附加免疫毒性试验研究</w:t>
      </w:r>
      <w:r>
        <w:rPr>
          <w:rFonts w:hint="eastAsia" w:ascii="仿宋" w:hAnsi="仿宋" w:eastAsia="仿宋" w:cs="仿宋"/>
          <w:color w:val="000000" w:themeColor="text1"/>
          <w:sz w:val="32"/>
          <w:szCs w:val="32"/>
          <w:highlight w:val="none"/>
          <w14:textFill>
            <w14:solidFill>
              <w14:schemeClr w14:val="tx1"/>
            </w14:solidFill>
          </w14:textFill>
        </w:rPr>
        <w:t>。应</w:t>
      </w:r>
      <w:r>
        <w:rPr>
          <w:rFonts w:hint="eastAsia" w:ascii="仿宋" w:hAnsi="仿宋" w:eastAsia="仿宋" w:cs="仿宋"/>
          <w:color w:val="000000" w:themeColor="text1"/>
          <w:sz w:val="32"/>
          <w:szCs w:val="32"/>
          <w:highlight w:val="none"/>
          <w:lang w:bidi="ar"/>
          <w14:textFill>
            <w14:solidFill>
              <w14:schemeClr w14:val="tx1"/>
            </w14:solidFill>
          </w14:textFill>
        </w:rPr>
        <w:t>通过对相关因素（见章节“三、基本内容”）的证据权重分析来</w:t>
      </w:r>
      <w:r>
        <w:rPr>
          <w:rFonts w:hint="eastAsia" w:ascii="仿宋" w:hAnsi="仿宋" w:eastAsia="仿宋" w:cs="仿宋"/>
          <w:color w:val="000000" w:themeColor="text1"/>
          <w:sz w:val="32"/>
          <w:szCs w:val="32"/>
          <w:highlight w:val="none"/>
          <w:lang w:eastAsia="zh-CN" w:bidi="ar"/>
          <w14:textFill>
            <w14:solidFill>
              <w14:schemeClr w14:val="tx1"/>
            </w14:solidFill>
          </w14:textFill>
        </w:rPr>
        <w:t>确定</w:t>
      </w:r>
      <w:r>
        <w:rPr>
          <w:rFonts w:hint="eastAsia" w:ascii="仿宋" w:hAnsi="仿宋" w:eastAsia="仿宋" w:cs="仿宋"/>
          <w:color w:val="000000" w:themeColor="text1"/>
          <w:sz w:val="32"/>
          <w:szCs w:val="32"/>
          <w:highlight w:val="none"/>
          <w:lang w:bidi="ar"/>
          <w14:textFill>
            <w14:solidFill>
              <w14:schemeClr w14:val="tx1"/>
            </w14:solidFill>
          </w14:textFill>
        </w:rPr>
        <w:t xml:space="preserve">是否需要进行附加免疫毒性试验研究。 </w:t>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bookmarkStart w:id="52" w:name="_Toc6998"/>
      <w:bookmarkStart w:id="53" w:name="_Toc19199"/>
      <w:bookmarkStart w:id="54" w:name="_Toc21255"/>
      <w:bookmarkStart w:id="55" w:name="_Toc16651"/>
      <w:bookmarkStart w:id="56" w:name="_Toc144629261"/>
      <w:bookmarkStart w:id="57" w:name="_Toc27394"/>
      <w:bookmarkStart w:id="58" w:name="_Toc15541"/>
      <w:r>
        <w:rPr>
          <w:rFonts w:hint="eastAsia" w:ascii="黑体" w:hAnsi="黑体" w:eastAsia="黑体" w:cs="黑体"/>
          <w:color w:val="000000" w:themeColor="text1"/>
          <w:sz w:val="32"/>
          <w:szCs w:val="32"/>
          <w:highlight w:val="none"/>
          <w14:textFill>
            <w14:solidFill>
              <w14:schemeClr w14:val="tx1"/>
            </w14:solidFill>
          </w14:textFill>
        </w:rPr>
        <w:t>三、基本内容</w:t>
      </w:r>
      <w:bookmarkEnd w:id="52"/>
      <w:bookmarkEnd w:id="53"/>
      <w:bookmarkEnd w:id="54"/>
      <w:bookmarkEnd w:id="55"/>
      <w:bookmarkEnd w:id="56"/>
      <w:bookmarkEnd w:id="57"/>
      <w:bookmarkEnd w:id="58"/>
    </w:p>
    <w:p>
      <w:pPr>
        <w:numPr>
          <w:ilvl w:val="255"/>
          <w:numId w:val="0"/>
        </w:num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59" w:name="_Toc12787"/>
      <w:bookmarkStart w:id="60" w:name="_Toc14295"/>
      <w:bookmarkStart w:id="61" w:name="_Toc144629262"/>
      <w:bookmarkStart w:id="62" w:name="_Toc20117"/>
      <w:bookmarkStart w:id="63" w:name="_Toc32126"/>
      <w:bookmarkStart w:id="64" w:name="_Toc19887"/>
      <w:bookmarkStart w:id="65" w:name="_Toc32023"/>
      <w:bookmarkStart w:id="66" w:name="_Toc11938"/>
      <w:r>
        <w:rPr>
          <w:rFonts w:hint="eastAsia" w:ascii="仿宋" w:hAnsi="仿宋" w:eastAsia="仿宋" w:cs="仿宋"/>
          <w:b/>
          <w:bCs/>
          <w:color w:val="000000" w:themeColor="text1"/>
          <w:sz w:val="32"/>
          <w:szCs w:val="32"/>
          <w:highlight w:val="none"/>
          <w14:textFill>
            <w14:solidFill>
              <w14:schemeClr w14:val="tx1"/>
            </w14:solidFill>
          </w14:textFill>
        </w:rPr>
        <w:t>（一）免疫毒性评价应考虑的因素</w:t>
      </w:r>
      <w:bookmarkEnd w:id="59"/>
      <w:bookmarkEnd w:id="60"/>
      <w:bookmarkEnd w:id="61"/>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识别化妆品原料潜在的免疫毒性风险，需考虑的因素包括化妆品原料与已知免疫毒性化合物的结构相似性；其功能作用机制；初始筛选试验结果等。</w:t>
      </w:r>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1.结构相似性 </w:t>
      </w:r>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与已知免疫抑制剂或免疫刺激物质结构类似的化合物应考虑进行附加的免疫毒性试验研究。</w:t>
      </w:r>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2.功能作用机制</w:t>
      </w:r>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如果化妆品原料的功能作用机制提示其可能影响免疫功能时，应考虑进行附加的免疫毒性试验研究。</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3.初始筛选试验</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初始筛选试验主要为非功能性试验，检测指标包括血液学及血液生化、免疫器官的重量、形态及组织病理学，</w:t>
      </w:r>
      <w:r>
        <w:rPr>
          <w:rFonts w:hint="eastAsia" w:ascii="仿宋" w:hAnsi="仿宋" w:eastAsia="仿宋" w:cs="仿宋"/>
          <w:color w:val="000000"/>
          <w:kern w:val="0"/>
          <w:sz w:val="32"/>
          <w:szCs w:val="32"/>
          <w:highlight w:val="none"/>
          <w:lang w:bidi="ar"/>
        </w:rPr>
        <w:t>血液淋巴细胞亚群分布，</w:t>
      </w:r>
      <w:r>
        <w:rPr>
          <w:rFonts w:hint="eastAsia" w:ascii="仿宋" w:hAnsi="仿宋" w:eastAsia="仿宋" w:cs="仿宋"/>
          <w:color w:val="000000" w:themeColor="text1"/>
          <w:sz w:val="32"/>
          <w:szCs w:val="32"/>
          <w:highlight w:val="none"/>
          <w14:textFill>
            <w14:solidFill>
              <w14:schemeClr w14:val="tx1"/>
            </w14:solidFill>
          </w14:textFill>
        </w:rPr>
        <w:t>血清中免疫球蛋白、补体的水平等。如初筛试验出现阳性或可疑结果，应考虑进行附加的免疫毒性试验研究。</w:t>
      </w:r>
    </w:p>
    <w:bookmarkEnd w:id="62"/>
    <w:bookmarkEnd w:id="63"/>
    <w:bookmarkEnd w:id="64"/>
    <w:bookmarkEnd w:id="65"/>
    <w:p>
      <w:pPr>
        <w:numPr>
          <w:ilvl w:val="255"/>
          <w:numId w:val="0"/>
        </w:num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67" w:name="_Toc29817"/>
      <w:bookmarkStart w:id="68" w:name="_Toc20247"/>
      <w:bookmarkStart w:id="69" w:name="_Toc7402"/>
      <w:bookmarkStart w:id="70" w:name="_Toc144629263"/>
      <w:bookmarkStart w:id="71" w:name="_Toc1610"/>
      <w:bookmarkStart w:id="72" w:name="_Toc9302"/>
      <w:bookmarkStart w:id="73" w:name="_Toc14853"/>
      <w:r>
        <w:rPr>
          <w:rFonts w:hint="eastAsia" w:ascii="仿宋" w:hAnsi="仿宋" w:eastAsia="仿宋" w:cs="仿宋"/>
          <w:b/>
          <w:bCs/>
          <w:color w:val="000000" w:themeColor="text1"/>
          <w:sz w:val="32"/>
          <w:szCs w:val="32"/>
          <w:highlight w:val="none"/>
          <w14:textFill>
            <w14:solidFill>
              <w14:schemeClr w14:val="tx1"/>
            </w14:solidFill>
          </w14:textFill>
        </w:rPr>
        <w:t>（二）证据权重分析</w:t>
      </w:r>
      <w:bookmarkEnd w:id="67"/>
      <w:bookmarkEnd w:id="68"/>
      <w:bookmarkEnd w:id="69"/>
      <w:bookmarkEnd w:id="70"/>
      <w:bookmarkEnd w:id="71"/>
      <w:bookmarkEnd w:id="72"/>
      <w:bookmarkEnd w:id="73"/>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应基于上述</w:t>
      </w:r>
      <w:r>
        <w:rPr>
          <w:rFonts w:hint="eastAsia" w:ascii="仿宋" w:hAnsi="仿宋" w:eastAsia="仿宋" w:cs="仿宋"/>
          <w:bCs/>
          <w:color w:val="000000" w:themeColor="text1"/>
          <w:sz w:val="32"/>
          <w:szCs w:val="32"/>
          <w:highlight w:val="none"/>
          <w14:textFill>
            <w14:solidFill>
              <w14:schemeClr w14:val="tx1"/>
            </w14:solidFill>
          </w14:textFill>
        </w:rPr>
        <w:t>原料</w:t>
      </w:r>
      <w:r>
        <w:rPr>
          <w:rFonts w:hint="eastAsia" w:ascii="仿宋" w:hAnsi="仿宋" w:eastAsia="仿宋" w:cs="仿宋"/>
          <w:color w:val="000000" w:themeColor="text1"/>
          <w:sz w:val="32"/>
          <w:szCs w:val="32"/>
          <w:highlight w:val="none"/>
          <w14:textFill>
            <w14:solidFill>
              <w14:schemeClr w14:val="tx1"/>
            </w14:solidFill>
          </w14:textFill>
        </w:rPr>
        <w:t>与已知免疫毒性化合物的结构相似性</w:t>
      </w:r>
      <w:r>
        <w:rPr>
          <w:rFonts w:hint="eastAsia" w:ascii="仿宋" w:hAnsi="仿宋" w:eastAsia="仿宋" w:cs="仿宋"/>
          <w:bCs/>
          <w:color w:val="000000" w:themeColor="text1"/>
          <w:sz w:val="32"/>
          <w:szCs w:val="32"/>
          <w:highlight w:val="none"/>
          <w14:textFill>
            <w14:solidFill>
              <w14:schemeClr w14:val="tx1"/>
            </w14:solidFill>
          </w14:textFill>
        </w:rPr>
        <w:t>、功能作用机制以及初始筛选试验结果等因素</w:t>
      </w:r>
      <w:r>
        <w:rPr>
          <w:rFonts w:hint="eastAsia" w:ascii="仿宋" w:hAnsi="仿宋" w:eastAsia="仿宋" w:cs="仿宋"/>
          <w:color w:val="000000" w:themeColor="text1"/>
          <w:sz w:val="32"/>
          <w:szCs w:val="32"/>
          <w:highlight w:val="none"/>
          <w14:textFill>
            <w14:solidFill>
              <w14:schemeClr w14:val="tx1"/>
            </w14:solidFill>
          </w14:textFill>
        </w:rPr>
        <w:t>进行证据权重分析，以确定</w:t>
      </w:r>
      <w:r>
        <w:rPr>
          <w:rFonts w:hint="eastAsia" w:ascii="仿宋" w:hAnsi="仿宋" w:eastAsia="仿宋" w:cs="仿宋"/>
          <w:color w:val="000000" w:themeColor="text1"/>
          <w:sz w:val="32"/>
          <w:szCs w:val="32"/>
          <w:highlight w:val="none"/>
          <w:lang w:bidi="ar"/>
          <w14:textFill>
            <w14:solidFill>
              <w14:schemeClr w14:val="tx1"/>
            </w14:solidFill>
          </w14:textFill>
        </w:rPr>
        <w:t>是否需要进行附加免疫毒性试验研究</w:t>
      </w:r>
      <w:r>
        <w:rPr>
          <w:rFonts w:hint="eastAsia" w:ascii="仿宋" w:hAnsi="仿宋" w:eastAsia="仿宋" w:cs="仿宋"/>
          <w:color w:val="000000" w:themeColor="text1"/>
          <w:sz w:val="32"/>
          <w:szCs w:val="32"/>
          <w:highlight w:val="none"/>
          <w14:textFill>
            <w14:solidFill>
              <w14:schemeClr w14:val="tx1"/>
            </w14:solidFill>
          </w14:textFill>
        </w:rPr>
        <w:t>。如上述单一因素的研究结果充分提示原料存在潜在的免疫毒性风险，应进行附加免疫毒性试验研究。如有两个或多个因素的研究结果提示原料存在潜在的免疫毒性风险，即使单一因素的证据不充分，也应进行附加免疫毒性试验研究。如果未进行附加免疫毒性试验研究，应提供充分的研究数据。</w:t>
      </w:r>
      <w:r>
        <w:rPr>
          <w:rFonts w:hint="eastAsia" w:ascii="仿宋" w:hAnsi="仿宋" w:eastAsia="仿宋" w:cs="仿宋"/>
          <w:color w:val="000000"/>
          <w:kern w:val="0"/>
          <w:sz w:val="32"/>
          <w:szCs w:val="32"/>
          <w:highlight w:val="none"/>
          <w:lang w:bidi="ar"/>
        </w:rPr>
        <w:t>此外，在常规毒性研究中，最大耐受剂量或接近最大耐受剂量能够导致与应激相关的免疫系统的改变，有充分证据说明出现的免疫学改变与应激相关时，才可以不进行附加的免疫毒性试验研究。</w:t>
      </w:r>
    </w:p>
    <w:p>
      <w:pPr>
        <w:widowControl/>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74" w:name="_Toc144629264"/>
      <w:bookmarkStart w:id="75" w:name="_Toc5567"/>
      <w:bookmarkStart w:id="76" w:name="_Toc23649"/>
      <w:bookmarkStart w:id="77" w:name="_Toc5415"/>
      <w:bookmarkStart w:id="78" w:name="_Toc18136"/>
      <w:bookmarkStart w:id="79" w:name="_Toc23543"/>
      <w:bookmarkStart w:id="80" w:name="_Toc1060"/>
      <w:r>
        <w:rPr>
          <w:rFonts w:hint="eastAsia" w:ascii="仿宋" w:hAnsi="仿宋" w:eastAsia="仿宋" w:cs="仿宋"/>
          <w:b/>
          <w:bCs/>
          <w:color w:val="000000" w:themeColor="text1"/>
          <w:sz w:val="32"/>
          <w:szCs w:val="32"/>
          <w:highlight w:val="none"/>
          <w14:textFill>
            <w14:solidFill>
              <w14:schemeClr w14:val="tx1"/>
            </w14:solidFill>
          </w14:textFill>
        </w:rPr>
        <w:t>（三）</w:t>
      </w:r>
      <w:r>
        <w:rPr>
          <w:rFonts w:hint="eastAsia" w:ascii="仿宋" w:hAnsi="仿宋" w:eastAsia="仿宋" w:cs="仿宋"/>
          <w:b/>
          <w:color w:val="000000" w:themeColor="text1"/>
          <w:sz w:val="32"/>
          <w:szCs w:val="32"/>
          <w:highlight w:val="none"/>
          <w14:textFill>
            <w14:solidFill>
              <w14:schemeClr w14:val="tx1"/>
            </w14:solidFill>
          </w14:textFill>
        </w:rPr>
        <w:t>初始筛选免疫毒性试验</w:t>
      </w:r>
      <w:bookmarkEnd w:id="74"/>
      <w:bookmarkEnd w:id="75"/>
      <w:bookmarkEnd w:id="76"/>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初始筛选试验应评价以下免疫毒性相关指标，这些指标可整合到90天重复剂量毒性试验中。</w:t>
      </w:r>
    </w:p>
    <w:p>
      <w:pPr>
        <w:widowControl/>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1.血液学及血液生化</w:t>
      </w:r>
    </w:p>
    <w:p>
      <w:pPr>
        <w:widowControl/>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rPr>
        <w:t>推荐将白细胞总数和绝对白细胞分类计数用于免疫毒性评价。血清球蛋白水平的变化可提示血清免疫球蛋白水平发生变化。虽然血清免疫球蛋白并不是免疫抑制的敏感指标，但在特定情况下，免疫球蛋白水平、白蛋白/球蛋白比值检测有助于更好地了解药物的靶细胞或作用机制。</w:t>
      </w:r>
    </w:p>
    <w:p>
      <w:pPr>
        <w:widowControl/>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 大体病理学和脏器重量</w:t>
      </w:r>
    </w:p>
    <w:p>
      <w:pPr>
        <w:widowControl/>
        <w:spacing w:line="360" w:lineRule="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rPr>
        <w:t xml:space="preserve">   </w:t>
      </w: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剖检时应评价所有</w:t>
      </w:r>
      <w:r>
        <w:rPr>
          <w:rFonts w:hint="eastAsia" w:ascii="仿宋" w:hAnsi="仿宋" w:eastAsia="仿宋" w:cs="仿宋"/>
          <w:color w:val="000000"/>
          <w:kern w:val="0"/>
          <w:sz w:val="32"/>
          <w:szCs w:val="32"/>
          <w:highlight w:val="none"/>
          <w:lang w:eastAsia="zh-CN"/>
        </w:rPr>
        <w:t>器官</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color w:val="000000"/>
          <w:kern w:val="0"/>
          <w:sz w:val="32"/>
          <w:szCs w:val="32"/>
          <w:highlight w:val="none"/>
        </w:rPr>
        <w:t xml:space="preserve">淋巴组织的大体病理学改变，并称量记录胸腺、脾脏、肾上腺的重量，可根据具体情况选择黏膜附近的淋巴结或周围淋巴结进行称量。胸腺随着年龄的增长而萎缩可能会对胸腺重量的评估造成影响。 </w:t>
      </w:r>
    </w:p>
    <w:p>
      <w:pPr>
        <w:widowControl/>
        <w:numPr>
          <w:ilvl w:val="0"/>
          <w:numId w:val="1"/>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组织病理学检查</w:t>
      </w:r>
    </w:p>
    <w:p>
      <w:pPr>
        <w:widowControl/>
        <w:spacing w:line="360" w:lineRule="auto"/>
        <w:ind w:firstLine="640" w:firstLineChars="200"/>
        <w:rPr>
          <w:rFonts w:hint="eastAsia" w:ascii="仿宋" w:hAnsi="仿宋" w:eastAsia="仿宋" w:cs="仿宋"/>
          <w:strike/>
          <w:dstrike w:val="0"/>
          <w:sz w:val="32"/>
          <w:szCs w:val="32"/>
          <w:highlight w:val="none"/>
        </w:rPr>
      </w:pPr>
      <w:r>
        <w:rPr>
          <w:rFonts w:hint="eastAsia" w:ascii="仿宋" w:hAnsi="仿宋" w:eastAsia="仿宋" w:cs="仿宋"/>
          <w:color w:val="000000"/>
          <w:kern w:val="0"/>
          <w:sz w:val="32"/>
          <w:szCs w:val="32"/>
          <w:highlight w:val="none"/>
        </w:rPr>
        <w:t>剖检后应评价胸腺、脾脏、淋巴结(黏膜附近的淋巴结或周围淋巴结)、骨髓的组织病理学改变。胸腺、脾脏、骨髓细胞的组织病理学改变应被视为系统免疫毒性的指征。应对引流淋巴组织或接触给药部位（暴露于最高浓度药物）的淋巴组织进行检查。吸入途径的应包括支气管相关淋巴组织（BALT）；吸入或鼻腔途径的（如果可能）应包括鼻相关淋巴组织（NALT）；经皮途径的应包括邻近部位的引流淋巴结。</w:t>
      </w:r>
    </w:p>
    <w:p>
      <w:pPr>
        <w:keepNext w:val="0"/>
        <w:keepLines w:val="0"/>
        <w:widowControl/>
        <w:suppressLineNumbers w:val="0"/>
        <w:spacing w:line="360" w:lineRule="auto"/>
        <w:ind w:firstLine="640" w:firstLineChars="200"/>
        <w:jc w:val="both"/>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在记录淋巴组织的改变和报告受试物相关的改变时，</w:t>
      </w:r>
      <w:r>
        <w:rPr>
          <w:rFonts w:hint="eastAsia" w:ascii="仿宋" w:hAnsi="仿宋" w:eastAsia="仿宋" w:cs="仿宋"/>
          <w:color w:val="000000"/>
          <w:kern w:val="0"/>
          <w:sz w:val="32"/>
          <w:szCs w:val="32"/>
          <w:highlight w:val="none"/>
          <w:lang w:val="en-US" w:eastAsia="zh-CN" w:bidi="ar"/>
        </w:rPr>
        <w:t>推荐对淋巴组织不同区室的改变进行病理学分区室半定量描述。</w:t>
      </w:r>
    </w:p>
    <w:p>
      <w:pPr>
        <w:widowControl/>
        <w:numPr>
          <w:ilvl w:val="-1"/>
          <w:numId w:val="0"/>
        </w:numPr>
        <w:spacing w:line="360" w:lineRule="auto"/>
        <w:ind w:firstLine="640" w:firstLine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4.增加的功能检测</w:t>
      </w:r>
    </w:p>
    <w:p>
      <w:pPr>
        <w:widowControl/>
        <w:numPr>
          <w:ilvl w:val="255"/>
          <w:numId w:val="0"/>
        </w:numPr>
        <w:spacing w:line="360" w:lineRule="auto"/>
        <w:ind w:firstLine="640"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kern w:val="0"/>
          <w:sz w:val="32"/>
          <w:szCs w:val="32"/>
          <w:highlight w:val="none"/>
          <w:lang w:bidi="ar"/>
        </w:rPr>
        <w:t>为增加筛选阶段免疫毒性的可预测性，在常规毒性检测指标基础上需增加血液淋巴细胞亚群分布、免疫球蛋白（IgA、IgE、IgM）含量、补体（如C3a、C5a）及其他免疫活性物质等指标的检测。</w:t>
      </w:r>
    </w:p>
    <w:p>
      <w:pPr>
        <w:widowControl/>
        <w:numPr>
          <w:ilvl w:val="255"/>
          <w:numId w:val="0"/>
        </w:numPr>
        <w:autoSpaceDE w:val="0"/>
        <w:autoSpaceDN w:val="0"/>
        <w:adjustRightInd w:val="0"/>
        <w:spacing w:line="360" w:lineRule="auto"/>
        <w:ind w:firstLine="643" w:firstLineChars="200"/>
        <w:outlineLvl w:val="1"/>
        <w:rPr>
          <w:rFonts w:hint="eastAsia" w:ascii="仿宋" w:hAnsi="仿宋" w:eastAsia="仿宋" w:cs="仿宋"/>
          <w:color w:val="000000"/>
          <w:kern w:val="0"/>
          <w:sz w:val="32"/>
          <w:szCs w:val="32"/>
          <w:highlight w:val="none"/>
          <w:lang w:bidi="ar"/>
        </w:rPr>
      </w:pPr>
      <w:bookmarkStart w:id="81" w:name="_Toc16245"/>
      <w:bookmarkStart w:id="82" w:name="_Toc144629265"/>
      <w:bookmarkStart w:id="83" w:name="_Toc13974"/>
      <w:r>
        <w:rPr>
          <w:rFonts w:hint="eastAsia" w:ascii="仿宋" w:hAnsi="仿宋" w:eastAsia="仿宋" w:cs="仿宋"/>
          <w:b/>
          <w:bCs/>
          <w:color w:val="000000" w:themeColor="text1"/>
          <w:sz w:val="32"/>
          <w:szCs w:val="32"/>
          <w:highlight w:val="none"/>
          <w14:textFill>
            <w14:solidFill>
              <w14:schemeClr w14:val="tx1"/>
            </w14:solidFill>
          </w14:textFill>
        </w:rPr>
        <w:t>（四）附加免疫毒性试验设计</w:t>
      </w:r>
      <w:bookmarkEnd w:id="66"/>
      <w:r>
        <w:rPr>
          <w:rFonts w:hint="eastAsia" w:ascii="仿宋" w:hAnsi="仿宋" w:eastAsia="仿宋" w:cs="仿宋"/>
          <w:b/>
          <w:bCs/>
          <w:color w:val="000000" w:themeColor="text1"/>
          <w:sz w:val="32"/>
          <w:szCs w:val="32"/>
          <w:highlight w:val="none"/>
          <w14:textFill>
            <w14:solidFill>
              <w14:schemeClr w14:val="tx1"/>
            </w14:solidFill>
          </w14:textFill>
        </w:rPr>
        <w:t>及方法选择</w:t>
      </w:r>
      <w:bookmarkEnd w:id="77"/>
      <w:bookmarkEnd w:id="78"/>
      <w:bookmarkEnd w:id="79"/>
      <w:bookmarkEnd w:id="80"/>
      <w:bookmarkEnd w:id="81"/>
      <w:bookmarkEnd w:id="82"/>
      <w:bookmarkEnd w:id="83"/>
    </w:p>
    <w:p>
      <w:pPr>
        <w:widowControl/>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基于风险，证据权重分析显示需要进行附加免疫毒性试验研究，应进行相关评价以验证受试物潜在的免疫毒性，并明确免疫细胞和免疫功能受影响的程度。这些研究也有助于确定受影响的细胞类型、影响的可逆性和作用机制。</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 附加免疫毒性试验的设计</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加免疫毒性试验研究中，动物种属、品系、剂量、给药期限和给药途径应尽可能与常规毒性试验研究一致，通常使用啮齿类实验动物。试验通常选择三个剂量：高剂量应高于未见不良反应剂量（NOAEL），而低剂量应不引起免疫调节功能的损伤。推荐设计多个剂量组，以确定剂量-反应关系和未见免疫毒性剂量，同时设立空白和/或溶剂对照组、阳性对照组以确保试验的准确性和重复性。</w:t>
      </w:r>
    </w:p>
    <w:p>
      <w:pPr>
        <w:autoSpaceDE w:val="0"/>
        <w:autoSpaceDN w:val="0"/>
        <w:adjustRightInd w:val="0"/>
        <w:spacing w:line="360" w:lineRule="auto"/>
        <w:ind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bookmarkStart w:id="84" w:name="_Toc20081"/>
      <w:bookmarkStart w:id="85" w:name="_Toc27546"/>
      <w:r>
        <w:rPr>
          <w:rFonts w:hint="eastAsia" w:ascii="仿宋" w:hAnsi="仿宋" w:eastAsia="仿宋" w:cs="仿宋"/>
          <w:bCs/>
          <w:color w:val="000000" w:themeColor="text1"/>
          <w:sz w:val="32"/>
          <w:szCs w:val="32"/>
          <w:highlight w:val="none"/>
          <w14:textFill>
            <w14:solidFill>
              <w14:schemeClr w14:val="tx1"/>
            </w14:solidFill>
          </w14:textFill>
        </w:rPr>
        <w:t>2. 附加免疫毒性试验方法的选择</w:t>
      </w:r>
      <w:bookmarkEnd w:id="84"/>
      <w:bookmarkEnd w:id="85"/>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加免疫毒性试验主要为功能性试验，包括特异性细胞免疫、体液免疫、免疫表型分析、非特异性细胞免疫（巨噬细胞功能检测、NK细胞活性测定）等。每个功能试验的测定方法很多，进行附加免疫毒性试验时，每个功能试验应至少选择一种方法进行。</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2.1 细胞免疫</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细胞免疫功能的检测方法主要有：（1）T淋巴细胞增殖试验（MTT法），其原理是当淋巴细胞受ConA刺激后发生母细胞转化，活细胞特别是增殖细胞通过线粒体水解酶将MTT分解为蓝紫色结晶而显色，其光密度值能反映细胞的增殖情况。（2）细胞毒性T细胞杀伤试验（CTL），细胞毒性 T 淋巴细胞是指 CD8</w:t>
      </w:r>
      <w:r>
        <w:rPr>
          <w:rFonts w:hint="eastAsia" w:ascii="仿宋" w:hAnsi="仿宋" w:eastAsia="仿宋" w:cs="仿宋"/>
          <w:color w:val="000000" w:themeColor="text1"/>
          <w:sz w:val="32"/>
          <w:szCs w:val="32"/>
          <w:highlight w:val="none"/>
          <w:vertAlign w:val="superscript"/>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T 淋巴细胞对靶细胞具有特异性的细胞毒性。在细胞免疫功能评价中，常取动物脾淋巴细胞进行细胞毒性 T 淋巴细胞</w:t>
      </w:r>
      <w:r>
        <w:rPr>
          <w:rFonts w:hint="eastAsia" w:ascii="仿宋" w:hAnsi="仿宋" w:eastAsia="仿宋" w:cs="仿宋"/>
          <w:color w:val="000000" w:themeColor="text1"/>
          <w:sz w:val="32"/>
          <w:szCs w:val="32"/>
          <w:highlight w:val="none"/>
          <w:lang w:val="en-US" w:eastAsia="zh-CN"/>
          <w14:textFill>
            <w14:solidFill>
              <w14:schemeClr w14:val="tx1"/>
            </w14:solidFill>
          </w14:textFill>
        </w:rPr>
        <w:t>试验</w:t>
      </w:r>
      <w:r>
        <w:rPr>
          <w:rFonts w:hint="eastAsia" w:ascii="仿宋" w:hAnsi="仿宋" w:eastAsia="仿宋" w:cs="仿宋"/>
          <w:color w:val="000000" w:themeColor="text1"/>
          <w:sz w:val="32"/>
          <w:szCs w:val="32"/>
          <w:highlight w:val="none"/>
          <w14:textFill>
            <w14:solidFill>
              <w14:schemeClr w14:val="tx1"/>
            </w14:solidFill>
          </w14:textFill>
        </w:rPr>
        <w:t>，检测采</w:t>
      </w:r>
      <w:bookmarkStart w:id="160" w:name="_GoBack"/>
      <w:bookmarkEnd w:id="160"/>
      <w:r>
        <w:rPr>
          <w:rFonts w:hint="eastAsia" w:ascii="仿宋" w:hAnsi="仿宋" w:eastAsia="仿宋" w:cs="仿宋"/>
          <w:color w:val="000000" w:themeColor="text1"/>
          <w:sz w:val="32"/>
          <w:szCs w:val="32"/>
          <w:highlight w:val="none"/>
          <w14:textFill>
            <w14:solidFill>
              <w14:schemeClr w14:val="tx1"/>
            </w14:solidFill>
          </w14:textFill>
        </w:rPr>
        <w:t>用放射法或流式细胞术。（3）迟发型超敏反应（DHR）是指受试物激发致敏淋巴细胞释放介质而导致组织损伤，检测可采用Buehler 试验（BT）等。</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2.2 体液免疫</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体液免疫功能的检测方法主要有：（1）绵羊红细胞（SRBC）作为抗原的抗体生成细胞试验（Antibody Plaque Forming Cell，简称PFC试验，也称溶血空斑试验）该方法通过计数脾脏中特异性抗体生成细胞的数量来反映抗体的产量，经充分验证能够有效预测化合物的潜在免疫毒性。体液免疫反应具有动物品系依赖性，在小鼠表现得更为明显。（2）SRBC为抗原的ELISA法，钥孔戚血蓝素（KLH）作为抗原的ELISA法。该检测方法操作简便，便于整合到常规毒理学研究中。（3）免疫电泳法和血清溶血素法，直接测定外周血中特异性抗体的浓度或滴度。</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2.3免疫表型分析</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免疫表型分析指采用抗体进行免疫细胞亚型的鉴定和/或免疫细胞亚型的计数。免疫表型试验通常采用流式细胞术或免疫组织化学方法。</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流式细胞术用于特定细胞群计数时不属于功能性检测。 基于体外分子标记技术的流式细胞术可用来测定淋巴细胞的抗原特异性免疫应答。推荐采用淋巴细胞亚型的绝对数量和百分比对暴露后动物相关的变化进行评价。 </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如果常规毒性试验中发现免疫毒性指征，可采用免疫组化对相关组织进行分析。另外，能够观察到淋巴组织中某一特定区域的细胞类型的改变。当采用免疫表型研究表征或鉴别特定免疫细胞群的改变时，</w:t>
      </w:r>
      <w:r>
        <w:rPr>
          <w:rFonts w:hint="eastAsia" w:ascii="仿宋" w:hAnsi="仿宋" w:eastAsia="仿宋" w:cs="仿宋"/>
          <w:color w:val="auto"/>
          <w:sz w:val="32"/>
          <w:szCs w:val="32"/>
          <w:highlight w:val="none"/>
        </w:rPr>
        <w:t>应根据观察到的变化（如CD4+和CD8+ T淋巴细胞或其它亚群的数量及比值</w:t>
      </w:r>
      <w:r>
        <w:rPr>
          <w:rFonts w:hint="eastAsia" w:ascii="仿宋" w:hAnsi="仿宋" w:eastAsia="仿宋" w:cs="仿宋"/>
          <w:color w:val="auto"/>
          <w:sz w:val="32"/>
          <w:szCs w:val="32"/>
          <w:highlight w:val="none"/>
          <w:lang w:val="en-US" w:eastAsia="zh-CN"/>
        </w:rPr>
        <w:t>的改变</w:t>
      </w:r>
      <w:r>
        <w:rPr>
          <w:rFonts w:hint="eastAsia" w:ascii="仿宋" w:hAnsi="仿宋" w:eastAsia="仿宋" w:cs="仿宋"/>
          <w:color w:val="auto"/>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选择待评价免疫器官和/或外周血。免疫表型研究易于结合常规毒性研究进行，在给药期和恢复期均可以检测免疫表型的变化。</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2.4 巨噬细胞功能检测</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用于评价受试物对巨噬细胞功能的影响。主要有巨噬细胞吞噬鸡红细胞试验、巨噬细胞溶酶体酶测定、巨噬细胞表面受体检测、流式细胞法等。除体内试验外，部分试验也可用于评价在体外暴露于受试物或来自暴露后动物（离体实验）的巨噬细胞/中性粒细胞的功能。</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2.5 NK细胞活性测定</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如果免疫表型分析显示自然杀伤（NK）细胞数量发生变</w:t>
      </w:r>
    </w:p>
    <w:p>
      <w:pPr>
        <w:autoSpaceDE w:val="0"/>
        <w:autoSpaceDN w:val="0"/>
        <w:adjustRightInd w:val="0"/>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化，或常规毒性试验发现病毒感染率升高，或基于其它一些</w:t>
      </w:r>
    </w:p>
    <w:p>
      <w:pPr>
        <w:autoSpaceDE w:val="0"/>
        <w:autoSpaceDN w:val="0"/>
        <w:adjustRightInd w:val="0"/>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原因，可进行NK细胞活性试验。通常，NK细胞试验采用已经给予受试物的动物组织（如脾脏）或血样进行离体试验。主要采用微量培养法和乳酸脱氢酶（LDH）释放法，其原理是观察NK细胞对敏感的肿瘤细胞的溶解作用，当细胞受到NK细胞的杀伤后，LDH释放至细胞外。也可采用流式细胞法</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通过检测</w:t>
      </w:r>
      <w:r>
        <w:rPr>
          <w:rFonts w:hint="eastAsia" w:ascii="仿宋" w:hAnsi="仿宋" w:eastAsia="仿宋" w:cs="仿宋"/>
          <w:i w:val="0"/>
          <w:iCs w:val="0"/>
          <w:caps w:val="0"/>
          <w:color w:val="000000" w:themeColor="text1"/>
          <w:spacing w:val="0"/>
          <w:sz w:val="32"/>
          <w:szCs w:val="32"/>
          <w:highlight w:val="none"/>
          <w:shd w:val="clear"/>
          <w:lang w:val="en-US" w:eastAsia="zh-CN"/>
          <w14:textFill>
            <w14:solidFill>
              <w14:schemeClr w14:val="tx1"/>
            </w14:solidFill>
          </w14:textFill>
        </w:rPr>
        <w:t>标记的靶细胞</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凋亡</w:t>
      </w:r>
      <w:r>
        <w:rPr>
          <w:rFonts w:hint="eastAsia" w:ascii="仿宋" w:hAnsi="仿宋" w:eastAsia="仿宋" w:cs="仿宋"/>
          <w:i w:val="0"/>
          <w:iCs w:val="0"/>
          <w:caps w:val="0"/>
          <w:color w:val="000000" w:themeColor="text1"/>
          <w:spacing w:val="0"/>
          <w:sz w:val="32"/>
          <w:szCs w:val="32"/>
          <w:highlight w:val="none"/>
          <w:shd w:val="clear"/>
          <w:lang w:val="en-US" w:eastAsia="zh-CN"/>
          <w14:textFill>
            <w14:solidFill>
              <w14:schemeClr w14:val="tx1"/>
            </w14:solidFill>
          </w14:textFill>
        </w:rPr>
        <w:t>比例</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，即可</w:t>
      </w:r>
      <w:r>
        <w:rPr>
          <w:rFonts w:hint="eastAsia" w:ascii="仿宋" w:hAnsi="仿宋" w:eastAsia="仿宋" w:cs="仿宋"/>
          <w:i w:val="0"/>
          <w:iCs w:val="0"/>
          <w:caps w:val="0"/>
          <w:color w:val="000000" w:themeColor="text1"/>
          <w:spacing w:val="0"/>
          <w:sz w:val="32"/>
          <w:szCs w:val="32"/>
          <w:highlight w:val="none"/>
          <w:shd w:val="clear"/>
          <w:lang w:val="en-US" w:eastAsia="zh-CN"/>
          <w14:textFill>
            <w14:solidFill>
              <w14:schemeClr w14:val="tx1"/>
            </w14:solidFill>
          </w14:textFill>
        </w:rPr>
        <w:t>反映出</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NK细胞的活性。</w:t>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bookmarkStart w:id="86" w:name="_Toc28692"/>
      <w:bookmarkStart w:id="87" w:name="_Toc448"/>
      <w:bookmarkStart w:id="88" w:name="_Toc30754"/>
      <w:bookmarkStart w:id="89" w:name="_Toc2933"/>
      <w:bookmarkStart w:id="90" w:name="_Toc144629266"/>
      <w:bookmarkStart w:id="91" w:name="_Toc10648"/>
      <w:bookmarkStart w:id="92" w:name="_Toc404"/>
      <w:bookmarkStart w:id="93" w:name="_Toc20410"/>
      <w:r>
        <w:rPr>
          <w:rFonts w:hint="eastAsia" w:ascii="黑体" w:hAnsi="黑体" w:eastAsia="黑体" w:cs="黑体"/>
          <w:color w:val="000000" w:themeColor="text1"/>
          <w:sz w:val="32"/>
          <w:szCs w:val="32"/>
          <w:highlight w:val="none"/>
          <w14:textFill>
            <w14:solidFill>
              <w14:schemeClr w14:val="tx1"/>
            </w14:solidFill>
          </w14:textFill>
        </w:rPr>
        <w:t>四、免疫毒性评价要点</w:t>
      </w:r>
      <w:bookmarkEnd w:id="86"/>
      <w:bookmarkEnd w:id="87"/>
      <w:bookmarkEnd w:id="88"/>
      <w:bookmarkEnd w:id="89"/>
      <w:bookmarkEnd w:id="90"/>
      <w:bookmarkEnd w:id="91"/>
      <w:bookmarkEnd w:id="92"/>
      <w:bookmarkEnd w:id="93"/>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94" w:name="_Toc11162"/>
      <w:bookmarkStart w:id="95" w:name="_Toc26083"/>
      <w:bookmarkStart w:id="96" w:name="_Toc29081"/>
      <w:bookmarkStart w:id="97" w:name="_Toc21288"/>
      <w:bookmarkStart w:id="98" w:name="_Toc19235"/>
      <w:bookmarkStart w:id="99" w:name="_Toc144629267"/>
      <w:bookmarkStart w:id="100" w:name="_Toc30068"/>
      <w:bookmarkStart w:id="101" w:name="_Toc23459"/>
      <w:r>
        <w:rPr>
          <w:rFonts w:hint="eastAsia" w:ascii="仿宋" w:hAnsi="仿宋" w:eastAsia="仿宋" w:cs="仿宋"/>
          <w:b/>
          <w:bCs/>
          <w:color w:val="000000" w:themeColor="text1"/>
          <w:sz w:val="32"/>
          <w:szCs w:val="32"/>
          <w:highlight w:val="none"/>
          <w14:textFill>
            <w14:solidFill>
              <w14:schemeClr w14:val="tx1"/>
            </w14:solidFill>
          </w14:textFill>
        </w:rPr>
        <w:t>（一）免疫抑制</w:t>
      </w:r>
      <w:bookmarkEnd w:id="94"/>
      <w:bookmarkEnd w:id="95"/>
      <w:bookmarkEnd w:id="96"/>
      <w:bookmarkEnd w:id="97"/>
      <w:bookmarkEnd w:id="98"/>
      <w:bookmarkEnd w:id="99"/>
      <w:bookmarkEnd w:id="100"/>
      <w:bookmarkEnd w:id="101"/>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抑制即免疫系统的广泛抑制，可致机体的易感性增加和肿瘤性疾病的风险增加。当受试物的潜在免疫抑制作用在已有常规毒性研究中不能明确免疫系统受影响的特定部分/功能时，应考虑进行免疫毒性研究以评估对免疫系统的影响。免疫抑制的检测采用多层级方式，第一层级免疫抑制试验为初始筛选阶段，主要由非功能性试验组成，增加</w:t>
      </w:r>
      <w:r>
        <w:rPr>
          <w:rFonts w:hint="eastAsia" w:ascii="仿宋" w:hAnsi="仿宋" w:eastAsia="仿宋" w:cs="仿宋"/>
          <w:color w:val="000000"/>
          <w:kern w:val="0"/>
          <w:sz w:val="32"/>
          <w:szCs w:val="32"/>
          <w:highlight w:val="none"/>
          <w:lang w:bidi="ar"/>
        </w:rPr>
        <w:t>血液淋巴细胞亚群分布及NK细胞活性等功能试验可增加筛选阶段的预测性；</w:t>
      </w:r>
      <w:r>
        <w:rPr>
          <w:rFonts w:hint="eastAsia" w:ascii="仿宋" w:hAnsi="仿宋" w:eastAsia="仿宋" w:cs="仿宋"/>
          <w:color w:val="000000" w:themeColor="text1"/>
          <w:sz w:val="32"/>
          <w:szCs w:val="32"/>
          <w:highlight w:val="none"/>
          <w14:textFill>
            <w14:solidFill>
              <w14:schemeClr w14:val="tx1"/>
            </w14:solidFill>
          </w14:textFill>
        </w:rPr>
        <w:t>第二层级试验主要是功能性试验。特异性和敏感性随层级逐级增加。第一层级中产生的免疫抑制指征有免疫器官重量、细胞数目、细胞群以及免疫球蛋白的变化；第二层级中可采用特异性的免疫功能检测，如评价免疫期间对体液免疫功能的影响，可采用ELISA等方法检测特异性抗体、采用PFC试验检测特异性抗体生成细胞的数量；评价对特异性细胞免疫反应的影响，可采用淋巴细胞增殖试验等；评价NK细胞活性可采用微量培养法或LDH释放法等。</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单一的毒性或免疫抑制研究不能用于评价全部的免疫相关参数，有必要识别最重要的指示参数并选择合适的方法来评定受试物的免疫抑制。免疫抑制试验最好结合全身毒性试验，因为全身毒性试验采用系列剂量的受试物对全身主要器官系统的反应进行评价。常规毒性试验可参照（三）中“常规毒性研究”的免疫毒理学参数进行免疫毒性的测定。如常规毒性试验中观察到的反应可以直接预测其在人体的反应时，则不需要附加的免疫毒性研究。</w:t>
      </w:r>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102" w:name="_Toc144629268"/>
      <w:bookmarkStart w:id="103" w:name="_Toc4518"/>
      <w:bookmarkStart w:id="104" w:name="_Toc15760"/>
      <w:bookmarkStart w:id="105" w:name="_Toc13704"/>
      <w:bookmarkStart w:id="106" w:name="_Toc30177"/>
      <w:bookmarkStart w:id="107" w:name="_Toc21390"/>
      <w:bookmarkStart w:id="108" w:name="_Toc28985"/>
      <w:bookmarkStart w:id="109" w:name="_Toc24980"/>
      <w:r>
        <w:rPr>
          <w:rFonts w:hint="eastAsia" w:ascii="仿宋" w:hAnsi="仿宋" w:eastAsia="仿宋" w:cs="仿宋"/>
          <w:b/>
          <w:bCs/>
          <w:color w:val="000000" w:themeColor="text1"/>
          <w:sz w:val="32"/>
          <w:szCs w:val="32"/>
          <w:highlight w:val="none"/>
          <w14:textFill>
            <w14:solidFill>
              <w14:schemeClr w14:val="tx1"/>
            </w14:solidFill>
          </w14:textFill>
        </w:rPr>
        <w:t>（二）免疫刺激</w:t>
      </w:r>
      <w:bookmarkEnd w:id="102"/>
      <w:bookmarkEnd w:id="103"/>
      <w:bookmarkEnd w:id="104"/>
      <w:bookmarkEnd w:id="105"/>
      <w:bookmarkEnd w:id="106"/>
      <w:bookmarkEnd w:id="107"/>
      <w:bookmarkEnd w:id="108"/>
      <w:bookmarkEnd w:id="109"/>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刺激是指具有增强免疫系统活性的物质通过直接刺激免疫相关信号通路或通过抑制/激活免疫相关调节因子等间接作用激发免疫系统活性，从而引起的一种免疫毒性的类型。在大多数情况下，免疫刺激不会导致对传染性疾病抵抗力的降低，但可能会增加过敏性和自身免疫性疾病的风险。</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用于免疫抑制的试验方法也适用于免疫刺激的检测。那些可以非特异性刺激免疫系统的物质，最好采用已诱导致敏或自身免疫的动物模型进行评价研究。目前还没有建立能够将动物数据外推至人的用于检验过敏症和自身免疫的有效动物模型。当在实验动物上无法充分暴露免疫毒性风险时，应采用离体组织或系统，如人源免疫细胞，开展相关免疫毒性试验。</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除了化妆品原料本身的免疫刺激性，还应考虑污染物或残留物的免疫刺激活性。</w:t>
      </w:r>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110" w:name="_Toc4562"/>
      <w:bookmarkStart w:id="111" w:name="_Toc13808"/>
      <w:bookmarkStart w:id="112" w:name="_Toc29372"/>
      <w:bookmarkStart w:id="113" w:name="_Toc144629269"/>
      <w:bookmarkStart w:id="114" w:name="_Toc22233"/>
      <w:bookmarkStart w:id="115" w:name="_Toc18925"/>
      <w:bookmarkStart w:id="116" w:name="_Toc31707"/>
      <w:bookmarkStart w:id="117" w:name="_Toc8457"/>
      <w:r>
        <w:rPr>
          <w:rFonts w:hint="eastAsia" w:ascii="仿宋" w:hAnsi="仿宋" w:eastAsia="仿宋" w:cs="仿宋"/>
          <w:b/>
          <w:bCs/>
          <w:color w:val="000000" w:themeColor="text1"/>
          <w:sz w:val="32"/>
          <w:szCs w:val="32"/>
          <w:highlight w:val="none"/>
          <w14:textFill>
            <w14:solidFill>
              <w14:schemeClr w14:val="tx1"/>
            </w14:solidFill>
          </w14:textFill>
        </w:rPr>
        <w:t>（三）超敏反应</w:t>
      </w:r>
      <w:bookmarkEnd w:id="110"/>
      <w:bookmarkEnd w:id="111"/>
      <w:bookmarkEnd w:id="112"/>
      <w:bookmarkEnd w:id="113"/>
      <w:bookmarkEnd w:id="114"/>
      <w:bookmarkEnd w:id="115"/>
      <w:bookmarkEnd w:id="116"/>
      <w:bookmarkEnd w:id="117"/>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作用物具有抗原特性被免疫系统识别，同样地，也可以作为变应原诱发超敏反应。最常见的超敏反应类型有速发型超敏反应（Ⅰ型）和迟发型超敏反应（Ⅳ型）。Ⅰ型超敏反应由IgE介导，可以通过检测特异性IgE的产生，对于Ⅰ型超敏反应尚没有好的预测性试验，最经典的诱发方法包括被动过敏反应检查法。Ⅳ型超敏反应包括抗原特异性细胞炎症反应，可参考《化妆品安全技术规范》中“皮肤变态反应试验”方法，如Buehler 试验（BT）等。</w:t>
      </w:r>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118" w:name="_Toc16462"/>
      <w:bookmarkStart w:id="119" w:name="_Toc144629270"/>
      <w:bookmarkStart w:id="120" w:name="_Toc26582"/>
      <w:bookmarkStart w:id="121" w:name="_Toc3206"/>
      <w:bookmarkStart w:id="122" w:name="_Toc5898"/>
      <w:bookmarkStart w:id="123" w:name="_Toc27814"/>
      <w:bookmarkStart w:id="124" w:name="_Toc25184"/>
      <w:bookmarkStart w:id="125" w:name="_Toc27402"/>
      <w:r>
        <w:rPr>
          <w:rFonts w:hint="eastAsia" w:ascii="仿宋" w:hAnsi="仿宋" w:eastAsia="仿宋" w:cs="仿宋"/>
          <w:b/>
          <w:bCs/>
          <w:color w:val="000000" w:themeColor="text1"/>
          <w:sz w:val="32"/>
          <w:szCs w:val="32"/>
          <w:highlight w:val="none"/>
          <w14:textFill>
            <w14:solidFill>
              <w14:schemeClr w14:val="tx1"/>
            </w14:solidFill>
          </w14:textFill>
        </w:rPr>
        <w:t>（四）自身免疫</w:t>
      </w:r>
      <w:bookmarkEnd w:id="118"/>
      <w:bookmarkEnd w:id="119"/>
      <w:bookmarkEnd w:id="120"/>
      <w:bookmarkEnd w:id="121"/>
      <w:bookmarkEnd w:id="122"/>
      <w:bookmarkEnd w:id="123"/>
      <w:bookmarkEnd w:id="124"/>
      <w:bookmarkEnd w:id="125"/>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自身免疫性疾病在很大程度上是由遗传性因素引起的，经确认至少有4种机制可诱导自身免疫性疾病，即正常细胞内的物质如释放进入循环被识别为异物（隐蔽抗原）、由于化学、物理或生物学改变可转变为免疫原性的（自身抗原）、可诱导免疫应答,与正常自身抗原交叉反应（异物抗原）、发生在免疫功能细胞内的突变等。因此常规毒性试验不太可能检测出自身免疫的诱发潜能。目前提出的自身免疫预测性试验模型主要是腘窝淋巴结试验的改良方法，该试验中引流淋巴结的增殖反应被认为是致敏反应诱发的指示，包括自身免疫。</w:t>
      </w:r>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126" w:name="_Toc16271"/>
      <w:bookmarkStart w:id="127" w:name="_Toc25891"/>
      <w:bookmarkStart w:id="128" w:name="_Toc8349"/>
      <w:bookmarkStart w:id="129" w:name="_Toc22417"/>
      <w:bookmarkStart w:id="130" w:name="_Toc29471"/>
      <w:bookmarkStart w:id="131" w:name="_Toc2903"/>
      <w:bookmarkStart w:id="132" w:name="_Toc5676"/>
      <w:bookmarkStart w:id="133" w:name="_Toc144629271"/>
      <w:r>
        <w:rPr>
          <w:rFonts w:hint="eastAsia" w:ascii="仿宋" w:hAnsi="仿宋" w:eastAsia="仿宋" w:cs="仿宋"/>
          <w:b/>
          <w:bCs/>
          <w:color w:val="000000" w:themeColor="text1"/>
          <w:sz w:val="32"/>
          <w:szCs w:val="32"/>
          <w:highlight w:val="none"/>
          <w14:textFill>
            <w14:solidFill>
              <w14:schemeClr w14:val="tx1"/>
            </w14:solidFill>
          </w14:textFill>
        </w:rPr>
        <w:t>（五）炎症反应</w:t>
      </w:r>
      <w:bookmarkEnd w:id="126"/>
      <w:bookmarkEnd w:id="127"/>
      <w:bookmarkEnd w:id="128"/>
      <w:bookmarkEnd w:id="129"/>
      <w:bookmarkEnd w:id="130"/>
      <w:bookmarkEnd w:id="131"/>
      <w:bookmarkEnd w:id="132"/>
      <w:bookmarkEnd w:id="133"/>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毒性物质能与免疫系统的非特异性成分（即粒细胞、巨噬细胞和其他能产生和释放炎症介质的细胞类型）相互作用。局部炎症反应是很常见的，评价炎症反应程度最直接的方法就是对炎症部位进行病理学观察。</w:t>
      </w:r>
    </w:p>
    <w:p>
      <w:pPr>
        <w:spacing w:line="360" w:lineRule="auto"/>
        <w:ind w:firstLine="640" w:firstLineChars="200"/>
        <w:outlineLvl w:val="0"/>
        <w:rPr>
          <w:rFonts w:ascii="Times New Roman" w:hAnsi="Times New Roman" w:eastAsia="黑体" w:cs="Times New Roman"/>
          <w:bCs/>
          <w:color w:val="000000" w:themeColor="text1"/>
          <w:sz w:val="32"/>
          <w:szCs w:val="32"/>
          <w:highlight w:val="none"/>
          <w14:textFill>
            <w14:solidFill>
              <w14:schemeClr w14:val="tx1"/>
            </w14:solidFill>
          </w14:textFill>
        </w:rPr>
      </w:pPr>
      <w:bookmarkStart w:id="134" w:name="_Toc29781"/>
      <w:bookmarkStart w:id="135" w:name="_Toc5233"/>
      <w:bookmarkStart w:id="136" w:name="_Toc32287"/>
      <w:bookmarkStart w:id="137" w:name="_Toc19779"/>
      <w:bookmarkStart w:id="138" w:name="_Toc30945"/>
      <w:bookmarkStart w:id="139" w:name="_Toc144629272"/>
      <w:bookmarkStart w:id="140" w:name="_Toc11112"/>
      <w:bookmarkStart w:id="141" w:name="_Toc19976"/>
      <w:bookmarkStart w:id="142" w:name="_Toc14848"/>
      <w:r>
        <w:rPr>
          <w:rFonts w:ascii="Times New Roman" w:hAnsi="Times New Roman" w:eastAsia="黑体" w:cs="Times New Roman"/>
          <w:bCs/>
          <w:color w:val="000000" w:themeColor="text1"/>
          <w:sz w:val="32"/>
          <w:szCs w:val="32"/>
          <w:highlight w:val="none"/>
          <w14:textFill>
            <w14:solidFill>
              <w14:schemeClr w14:val="tx1"/>
            </w14:solidFill>
          </w14:textFill>
        </w:rPr>
        <w:t>五、</w:t>
      </w:r>
      <w:r>
        <w:rPr>
          <w:rFonts w:hint="eastAsia" w:ascii="Times New Roman" w:hAnsi="Times New Roman" w:eastAsia="黑体" w:cs="Times New Roman"/>
          <w:bCs/>
          <w:color w:val="000000" w:themeColor="text1"/>
          <w:sz w:val="32"/>
          <w:szCs w:val="32"/>
          <w:highlight w:val="none"/>
          <w14:textFill>
            <w14:solidFill>
              <w14:schemeClr w14:val="tx1"/>
            </w14:solidFill>
          </w14:textFill>
        </w:rPr>
        <w:t>结果分析及评价</w:t>
      </w:r>
      <w:bookmarkEnd w:id="134"/>
      <w:bookmarkEnd w:id="135"/>
      <w:bookmarkEnd w:id="136"/>
      <w:bookmarkEnd w:id="137"/>
      <w:bookmarkEnd w:id="138"/>
      <w:bookmarkEnd w:id="139"/>
      <w:bookmarkEnd w:id="140"/>
      <w:bookmarkEnd w:id="141"/>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系统的应答是一个十分复杂的过程，因此，观察化妆品原料对机体可能存在的免疫毒性作用的研究应该考虑全面、深入，不能以少数实验结果来评价其免疫毒性作用，应根据化妆品的暴露途径、免疫应答的特点，结合动物的生理特性并选择合适的动物进行，对免疫毒性的试验数据进行分析时，应该对全部数据进行综合评价，以便有充分的数据对免疫毒性风险进行合理的评估。根据所观察到的各种免疫毒性反应出现的时间、持续时间及严重程度等，分析各种反应在不同剂量时的发生率、严重程度。对观察结果进行归纳分析，判断每种反应的剂量-反应及时间-反应关系。</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附加研究未检测到免疫毒性的风险，则无需进行进一步的试验；附加研究显示可能存在免疫毒性风险，但无法提供充足的数据进行合理的风险</w:t>
      </w:r>
      <w:r>
        <w:rPr>
          <w:rFonts w:hint="eastAsia" w:ascii="仿宋" w:hAnsi="仿宋" w:eastAsia="仿宋" w:cs="仿宋"/>
          <w:color w:val="000000" w:themeColor="text1"/>
          <w:sz w:val="32"/>
          <w:szCs w:val="32"/>
          <w:highlight w:val="none"/>
          <w:lang w:eastAsia="zh-CN"/>
          <w14:textFill>
            <w14:solidFill>
              <w14:schemeClr w14:val="tx1"/>
            </w14:solidFill>
          </w14:textFill>
        </w:rPr>
        <w:t>与收</w:t>
      </w:r>
      <w:r>
        <w:rPr>
          <w:rFonts w:hint="eastAsia" w:ascii="仿宋" w:hAnsi="仿宋" w:eastAsia="仿宋" w:cs="仿宋"/>
          <w:color w:val="000000" w:themeColor="text1"/>
          <w:sz w:val="32"/>
          <w:szCs w:val="32"/>
          <w:highlight w:val="none"/>
          <w14:textFill>
            <w14:solidFill>
              <w14:schemeClr w14:val="tx1"/>
            </w14:solidFill>
          </w14:textFill>
        </w:rPr>
        <w:t>益决策。在这种情况下，进一步的试验可能有助于为风险</w:t>
      </w:r>
      <w:r>
        <w:rPr>
          <w:rFonts w:hint="eastAsia" w:ascii="仿宋" w:hAnsi="仿宋" w:eastAsia="仿宋" w:cs="仿宋"/>
          <w:color w:val="000000" w:themeColor="text1"/>
          <w:sz w:val="32"/>
          <w:szCs w:val="32"/>
          <w:highlight w:val="none"/>
          <w:lang w:eastAsia="zh-CN"/>
          <w14:textFill>
            <w14:solidFill>
              <w14:schemeClr w14:val="tx1"/>
            </w14:solidFill>
          </w14:textFill>
        </w:rPr>
        <w:t>与收</w:t>
      </w:r>
      <w:r>
        <w:rPr>
          <w:rFonts w:hint="eastAsia" w:ascii="仿宋" w:hAnsi="仿宋" w:eastAsia="仿宋" w:cs="仿宋"/>
          <w:color w:val="000000" w:themeColor="text1"/>
          <w:sz w:val="32"/>
          <w:szCs w:val="32"/>
          <w:highlight w:val="none"/>
          <w14:textFill>
            <w14:solidFill>
              <w14:schemeClr w14:val="tx1"/>
            </w14:solidFill>
          </w14:textFill>
        </w:rPr>
        <w:t>益决策提供充分的信息。任何常规毒性试验（如急性毒性试验、亚慢性毒性试验（90天）、致畸试验、慢性毒性/致癌性试验等）发现的免疫毒性作用，都应该予以评估。</w:t>
      </w:r>
    </w:p>
    <w:p>
      <w:pPr>
        <w:spacing w:line="360" w:lineRule="auto"/>
        <w:ind w:firstLine="640" w:firstLineChars="200"/>
        <w:outlineLvl w:val="0"/>
        <w:rPr>
          <w:rFonts w:ascii="Times New Roman" w:hAnsi="Times New Roman" w:eastAsia="黑体" w:cs="Times New Roman"/>
          <w:bCs/>
          <w:color w:val="000000" w:themeColor="text1"/>
          <w:sz w:val="32"/>
          <w:szCs w:val="32"/>
          <w:highlight w:val="none"/>
          <w14:textFill>
            <w14:solidFill>
              <w14:schemeClr w14:val="tx1"/>
            </w14:solidFill>
          </w14:textFill>
        </w:rPr>
      </w:pPr>
      <w:bookmarkStart w:id="143" w:name="_Toc9107"/>
      <w:bookmarkStart w:id="144" w:name="_Toc8970"/>
      <w:bookmarkStart w:id="145" w:name="_Toc18380"/>
      <w:bookmarkStart w:id="146" w:name="_Toc12986"/>
      <w:bookmarkStart w:id="147" w:name="_Toc4117"/>
      <w:bookmarkStart w:id="148" w:name="_Toc14045"/>
      <w:bookmarkStart w:id="149" w:name="_Toc13696"/>
      <w:bookmarkStart w:id="150" w:name="_Toc144629273"/>
      <w:r>
        <w:rPr>
          <w:rFonts w:hint="eastAsia" w:ascii="Times New Roman" w:hAnsi="Times New Roman" w:eastAsia="黑体" w:cs="Times New Roman"/>
          <w:bCs/>
          <w:color w:val="000000" w:themeColor="text1"/>
          <w:sz w:val="32"/>
          <w:szCs w:val="32"/>
          <w:highlight w:val="none"/>
          <w14:textFill>
            <w14:solidFill>
              <w14:schemeClr w14:val="tx1"/>
            </w14:solidFill>
          </w14:textFill>
        </w:rPr>
        <w:t>六、</w:t>
      </w:r>
      <w:r>
        <w:rPr>
          <w:rFonts w:ascii="Times New Roman" w:hAnsi="Times New Roman" w:eastAsia="黑体" w:cs="Times New Roman"/>
          <w:bCs/>
          <w:color w:val="000000" w:themeColor="text1"/>
          <w:sz w:val="32"/>
          <w:szCs w:val="32"/>
          <w:highlight w:val="none"/>
          <w14:textFill>
            <w14:solidFill>
              <w14:schemeClr w14:val="tx1"/>
            </w14:solidFill>
          </w14:textFill>
        </w:rPr>
        <w:t>参考文献</w:t>
      </w:r>
      <w:bookmarkEnd w:id="142"/>
      <w:bookmarkEnd w:id="143"/>
      <w:bookmarkEnd w:id="144"/>
      <w:bookmarkEnd w:id="145"/>
      <w:bookmarkEnd w:id="146"/>
      <w:bookmarkEnd w:id="147"/>
      <w:bookmarkEnd w:id="148"/>
      <w:bookmarkEnd w:id="149"/>
      <w:bookmarkEnd w:id="150"/>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1.国家药品监督管理局.化妆品安全技术规范.(2015.12)</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2.SCCS. The SCCS Notes of guidance for the testing of cosmetic ingredients and their safety evaluation (12</w:t>
      </w:r>
      <w:r>
        <w:rPr>
          <w:rFonts w:hint="default" w:ascii="Times New Roman" w:hAnsi="Times New Roman" w:eastAsia="仿宋" w:cs="Times New Roman"/>
          <w:color w:val="000000" w:themeColor="text1"/>
          <w:sz w:val="32"/>
          <w:szCs w:val="32"/>
          <w:highlight w:val="none"/>
          <w:vertAlign w:val="superscript"/>
          <w14:textFill>
            <w14:solidFill>
              <w14:schemeClr w14:val="tx1"/>
            </w14:solidFill>
          </w14:textFill>
        </w:rPr>
        <w:t>th</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revision). (2023.5)</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3.ICH. ICH:S8 Immunotoxicology Studies for Human Pharmaceuticals.(200</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9</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pStyle w:val="4"/>
        <w:adjustRightInd w:val="0"/>
        <w:snapToGrid w:val="0"/>
        <w:spacing w:line="360" w:lineRule="auto"/>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4.国家食品药品监督管理局，化妆品安全技术规范（2015年版），2015.12</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5. OECD. OECD Guideline for the testing of chemicals: Repeated Dose 28-Day Oral Toxicity Study in Rodents(407).(</w:t>
      </w:r>
    </w:p>
    <w:p>
      <w:pPr>
        <w:spacing w:line="36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2008.10)</w:t>
      </w:r>
    </w:p>
    <w:p>
      <w:pPr>
        <w:spacing w:line="36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6.ISO/TS 10993-20 Principles and methods for Immuno-</w:t>
      </w:r>
    </w:p>
    <w:p>
      <w:pPr>
        <w:spacing w:line="36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toxicology testing of medical devices.(2006.8)</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7.国家药品监督管理局药品审评中心.药物免疫毒性非临床研究技术指导原则(征求意见稿).(2022.9)</w:t>
      </w:r>
    </w:p>
    <w:p>
      <w:pPr>
        <w:spacing w:line="360" w:lineRule="auto"/>
        <w:ind w:firstLine="640" w:firstLineChars="200"/>
        <w:rPr>
          <w:rFonts w:hint="default" w:ascii="Times New Roman" w:hAnsi="Times New Roman" w:eastAsia="仿宋" w:cs="Times New Roman"/>
          <w:b/>
          <w:bCs/>
          <w:color w:val="000000"/>
          <w:spacing w:val="20"/>
          <w:sz w:val="35"/>
          <w:szCs w:val="35"/>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8.国家药品监督管理局药品审评中心.中药、天然药物免疫毒性（过敏性、光过敏反应）研究的技术指导原则（2005.3） </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9.WHO.Guidance for Inmunotoxicity Risk Assessment for Chemicals.(2012)</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10.EPA.Health Effects Test Guidelines:OPPTS 870.7800 </w:t>
      </w:r>
    </w:p>
    <w:p>
      <w:pPr>
        <w:spacing w:line="36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Immunotoxicity(1996.6)</w:t>
      </w:r>
    </w:p>
    <w:p>
      <w:pPr>
        <w:numPr>
          <w:ilvl w:val="255"/>
          <w:numId w:val="0"/>
        </w:num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11.ISO/TS 10993-6 Biological evaluation of medical devices.(2007.5)</w:t>
      </w:r>
    </w:p>
    <w:p>
      <w:pPr>
        <w:numPr>
          <w:ilvl w:val="255"/>
          <w:numId w:val="0"/>
        </w:num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12.</w:t>
      </w: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"https://www.so.com/link?m=bTW3g3s4351TTKUIlUyBHlZKISH7nzC4H6gk2K1QWgWeKOAq9v+jA1pB1Fn3Qlo5fKJGtFxG2LZf0EU3H5RV/96RiXbXLtbGq+QXvpmLK/SoDh/QfV1rebrt/RuGh+iGa+U75Eg629hH0RQYPZVtAHji+/HR+Zhq0G4cT0XSGfyQsvPzOqAZSzewYseQlR7jheKkjtTA3BIHfy4pL28KjOBBf629pqMPS" \t "https://www.so.com/_blank" </w:instrText>
      </w:r>
      <w:r>
        <w:rPr>
          <w:rFonts w:hint="default" w:ascii="Times New Roman" w:hAnsi="Times New Roman" w:eastAsia="仿宋" w:cs="Times New Roman"/>
          <w:highlight w:val="none"/>
        </w:rPr>
        <w:fldChar w:fldCharType="separate"/>
      </w:r>
      <w:r>
        <w:rPr>
          <w:rFonts w:hint="default" w:ascii="Times New Roman" w:hAnsi="Times New Roman" w:eastAsia="仿宋" w:cs="Times New Roman"/>
          <w:color w:val="000000" w:themeColor="text1"/>
          <w:sz w:val="32"/>
          <w:szCs w:val="32"/>
          <w:highlight w:val="none"/>
          <w14:textFill>
            <w14:solidFill>
              <w14:schemeClr w14:val="tx1"/>
            </w14:solidFill>
          </w14:textFill>
        </w:rPr>
        <w:t>厚生労働省医薬食品局</w:t>
      </w:r>
      <w:r>
        <w:rPr>
          <w:rFonts w:hint="default" w:ascii="Times New Roman" w:hAnsi="Times New Roman" w:eastAsia="仿宋"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 w:cs="Times New Roman"/>
          <w:color w:val="000000" w:themeColor="text1"/>
          <w:sz w:val="32"/>
          <w:szCs w:val="32"/>
          <w:highlight w:val="none"/>
          <w14:textFill>
            <w14:solidFill>
              <w14:schemeClr w14:val="tx1"/>
            </w14:solidFill>
          </w14:textFill>
        </w:rPr>
        <w:t>.免疫毒性试验指南（案）[S].2004:1</w:t>
      </w:r>
    </w:p>
    <w:p>
      <w:pPr>
        <w:numPr>
          <w:ilvl w:val="255"/>
          <w:numId w:val="0"/>
        </w:num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13.EMEA:CPMP/SWP/1042/99 Note for Guidance on Repeated Dose Toxicity.[S].2000:1</w:t>
      </w:r>
    </w:p>
    <w:p>
      <w:pPr>
        <w:numPr>
          <w:ilvl w:val="255"/>
          <w:numId w:val="0"/>
        </w:num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14.FDA.Nonclinical Evaluation of the Immunotoxic Potential of Pharmaceuticals Guidance for Industry.(2023.6)</w:t>
      </w:r>
    </w:p>
    <w:p>
      <w:pPr>
        <w:spacing w:line="360" w:lineRule="auto"/>
        <w:ind w:firstLine="640" w:firstLineChars="200"/>
        <w:outlineLvl w:val="0"/>
        <w:rPr>
          <w:rFonts w:ascii="Times New Roman" w:hAnsi="Times New Roman" w:eastAsia="仿宋" w:cs="Times New Roman"/>
          <w:color w:val="000000" w:themeColor="text1"/>
          <w:sz w:val="32"/>
          <w:szCs w:val="32"/>
          <w:highlight w:val="none"/>
          <w14:textFill>
            <w14:solidFill>
              <w14:schemeClr w14:val="tx1"/>
            </w14:solidFill>
          </w14:textFill>
        </w:rPr>
      </w:pPr>
      <w:bookmarkStart w:id="151" w:name="_Toc17135"/>
      <w:bookmarkStart w:id="152" w:name="_Toc1422"/>
      <w:bookmarkStart w:id="153" w:name="_Toc28631"/>
      <w:bookmarkStart w:id="154" w:name="_Toc28430"/>
      <w:bookmarkStart w:id="155" w:name="_Toc144629274"/>
      <w:bookmarkStart w:id="156" w:name="_Toc23431"/>
      <w:bookmarkStart w:id="157" w:name="_Toc19953"/>
      <w:bookmarkStart w:id="158" w:name="_Toc10662"/>
      <w:bookmarkStart w:id="159" w:name="_Toc14875"/>
      <w:r>
        <w:rPr>
          <w:rFonts w:hint="eastAsia" w:ascii="Times New Roman" w:hAnsi="Times New Roman" w:eastAsia="黑体" w:cs="Times New Roman"/>
          <w:bCs/>
          <w:color w:val="000000" w:themeColor="text1"/>
          <w:sz w:val="32"/>
          <w:szCs w:val="32"/>
          <w:highlight w:val="none"/>
          <w14:textFill>
            <w14:solidFill>
              <w14:schemeClr w14:val="tx1"/>
            </w14:solidFill>
          </w14:textFill>
        </w:rPr>
        <w:t>七</w:t>
      </w:r>
      <w:r>
        <w:rPr>
          <w:rFonts w:ascii="Times New Roman" w:hAnsi="Times New Roman" w:eastAsia="黑体" w:cs="Times New Roman"/>
          <w:bCs/>
          <w:color w:val="000000" w:themeColor="text1"/>
          <w:sz w:val="32"/>
          <w:szCs w:val="32"/>
          <w:highlight w:val="none"/>
          <w14:textFill>
            <w14:solidFill>
              <w14:schemeClr w14:val="tx1"/>
            </w14:solidFill>
          </w14:textFill>
        </w:rPr>
        <w:t>、术语和释义</w:t>
      </w:r>
      <w:bookmarkEnd w:id="151"/>
      <w:bookmarkEnd w:id="152"/>
      <w:bookmarkEnd w:id="153"/>
      <w:bookmarkEnd w:id="154"/>
      <w:bookmarkEnd w:id="155"/>
      <w:bookmarkEnd w:id="156"/>
      <w:bookmarkEnd w:id="157"/>
      <w:bookmarkEnd w:id="158"/>
      <w:bookmarkEnd w:id="159"/>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（一）免疫毒性（Immunotoxicity）</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免疫毒性是毒理学学科最新和最重要的分支之一，是指外源性化合物和物理因素对机体免疫系统产生的不良影响。</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（二）免疫抑制（Immunosuppression）</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是指对于</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"https://baike.so.com/doc/6589278-6803054.html" \t "https://baike.so.com/doc/_blank"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免疫应答</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的抑制作用。</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"https://baike.so.com/doc/6723546-6937672.html" \t "https://baike.so.com/doc/_blank"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免疫力低下</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容易受到</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"https://baike.so.com/doc/5403235-5640924.html" \t "https://baike.so.com/doc/_blank"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细菌</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、病毒、真菌等感染，甚至容易长肿瘤。</w:t>
      </w:r>
    </w:p>
    <w:p>
      <w:pPr>
        <w:numPr>
          <w:ilvl w:val="0"/>
          <w:numId w:val="2"/>
        </w:num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免疫刺激（</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"http://www.baidu.com/link?url=FEzsL56jCgjNjJUMNm5i9gQQsCPiHxTcXgf8Qen1u5M6s7l31-bB2vVOCEHxMQSDcVNOaT-MmG1gAOvxWEXF-np2QJX7mP60Af9XbB3Mo009Y94xW3qAtilJwKkE8h3r" \t "https://www.baidu.com/_blank"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immunostimulation</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是指对于</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"https://baike.so.com/doc/6589278-6803054.html" \t "https://baike.so.com/doc/_blank"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免疫应答</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的刺激作用。通常指激活非特异性免疫，增强机体免疫应答。</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0135E"/>
    <w:multiLevelType w:val="singleLevel"/>
    <w:tmpl w:val="15E0135E"/>
    <w:lvl w:ilvl="0" w:tentative="0">
      <w:start w:val="3"/>
      <w:numFmt w:val="decimal"/>
      <w:suff w:val="space"/>
      <w:lvlText w:val="%1."/>
      <w:lvlJc w:val="left"/>
    </w:lvl>
  </w:abstractNum>
  <w:abstractNum w:abstractNumId="1">
    <w:nsid w:val="7D9FEFAB"/>
    <w:multiLevelType w:val="singleLevel"/>
    <w:tmpl w:val="7D9FEFA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TAxY2M1N2U4MzQ5YTc0MDRjYWU4MzRkODU5NmEifQ=="/>
  </w:docVars>
  <w:rsids>
    <w:rsidRoot w:val="00B210F6"/>
    <w:rsid w:val="000749E3"/>
    <w:rsid w:val="000B71E3"/>
    <w:rsid w:val="000F7018"/>
    <w:rsid w:val="00114F9F"/>
    <w:rsid w:val="001F7F7E"/>
    <w:rsid w:val="002829FC"/>
    <w:rsid w:val="00310191"/>
    <w:rsid w:val="003663A9"/>
    <w:rsid w:val="004532F6"/>
    <w:rsid w:val="004B493E"/>
    <w:rsid w:val="004C1B23"/>
    <w:rsid w:val="00556453"/>
    <w:rsid w:val="0057213C"/>
    <w:rsid w:val="00652C29"/>
    <w:rsid w:val="00696FD2"/>
    <w:rsid w:val="00701F94"/>
    <w:rsid w:val="00711BED"/>
    <w:rsid w:val="00754C38"/>
    <w:rsid w:val="007C0557"/>
    <w:rsid w:val="00821AF9"/>
    <w:rsid w:val="008558FA"/>
    <w:rsid w:val="009C7951"/>
    <w:rsid w:val="009E0DF3"/>
    <w:rsid w:val="00A14E67"/>
    <w:rsid w:val="00A97C02"/>
    <w:rsid w:val="00AA0363"/>
    <w:rsid w:val="00B210F6"/>
    <w:rsid w:val="00B664B9"/>
    <w:rsid w:val="00BE67B3"/>
    <w:rsid w:val="00C0456F"/>
    <w:rsid w:val="00CE42BE"/>
    <w:rsid w:val="00CF3752"/>
    <w:rsid w:val="00D04C4D"/>
    <w:rsid w:val="00D9012D"/>
    <w:rsid w:val="00DD7848"/>
    <w:rsid w:val="00DE5743"/>
    <w:rsid w:val="00EB29D4"/>
    <w:rsid w:val="00EF5BA2"/>
    <w:rsid w:val="00F07D5C"/>
    <w:rsid w:val="00F20121"/>
    <w:rsid w:val="00F2264F"/>
    <w:rsid w:val="00F452C9"/>
    <w:rsid w:val="010341F4"/>
    <w:rsid w:val="01203FAE"/>
    <w:rsid w:val="017460A8"/>
    <w:rsid w:val="017C6D0A"/>
    <w:rsid w:val="02507375"/>
    <w:rsid w:val="026954E1"/>
    <w:rsid w:val="02B11C77"/>
    <w:rsid w:val="02BD04FD"/>
    <w:rsid w:val="02D84414"/>
    <w:rsid w:val="02F8789E"/>
    <w:rsid w:val="03561F09"/>
    <w:rsid w:val="0361265C"/>
    <w:rsid w:val="03667C72"/>
    <w:rsid w:val="038C76D9"/>
    <w:rsid w:val="03F60FF6"/>
    <w:rsid w:val="045B70AB"/>
    <w:rsid w:val="047343F5"/>
    <w:rsid w:val="047C599F"/>
    <w:rsid w:val="047D7976"/>
    <w:rsid w:val="04AE7B23"/>
    <w:rsid w:val="05087233"/>
    <w:rsid w:val="05235E1B"/>
    <w:rsid w:val="058D2695"/>
    <w:rsid w:val="05B66C8F"/>
    <w:rsid w:val="05BC1DCB"/>
    <w:rsid w:val="05BE5888"/>
    <w:rsid w:val="05D62E8D"/>
    <w:rsid w:val="05E530D0"/>
    <w:rsid w:val="05FD666C"/>
    <w:rsid w:val="062D12C6"/>
    <w:rsid w:val="064C314F"/>
    <w:rsid w:val="06585F98"/>
    <w:rsid w:val="069F3BC7"/>
    <w:rsid w:val="06A42F8B"/>
    <w:rsid w:val="06E17D3B"/>
    <w:rsid w:val="06F757B1"/>
    <w:rsid w:val="06FC4B75"/>
    <w:rsid w:val="072335B0"/>
    <w:rsid w:val="072B0FB7"/>
    <w:rsid w:val="074107DA"/>
    <w:rsid w:val="07697D31"/>
    <w:rsid w:val="078372B4"/>
    <w:rsid w:val="07B13BB2"/>
    <w:rsid w:val="07B410D1"/>
    <w:rsid w:val="07CD206E"/>
    <w:rsid w:val="081B102B"/>
    <w:rsid w:val="082F2606"/>
    <w:rsid w:val="0837398B"/>
    <w:rsid w:val="086F1377"/>
    <w:rsid w:val="089D5EE4"/>
    <w:rsid w:val="08DF57BA"/>
    <w:rsid w:val="08E6788B"/>
    <w:rsid w:val="08F63846"/>
    <w:rsid w:val="08FD6983"/>
    <w:rsid w:val="09167A44"/>
    <w:rsid w:val="091D26B3"/>
    <w:rsid w:val="09622C8A"/>
    <w:rsid w:val="09A514F4"/>
    <w:rsid w:val="09FE29B2"/>
    <w:rsid w:val="0A067AB9"/>
    <w:rsid w:val="0A2A37A7"/>
    <w:rsid w:val="0A2A7C4B"/>
    <w:rsid w:val="0A3E5B71"/>
    <w:rsid w:val="0A4C1970"/>
    <w:rsid w:val="0A5B6057"/>
    <w:rsid w:val="0AC81803"/>
    <w:rsid w:val="0B0264D2"/>
    <w:rsid w:val="0B7D1FFD"/>
    <w:rsid w:val="0BAD4F01"/>
    <w:rsid w:val="0BAE21B6"/>
    <w:rsid w:val="0BCF2858"/>
    <w:rsid w:val="0C2D3A23"/>
    <w:rsid w:val="0C550323"/>
    <w:rsid w:val="0CA21D1B"/>
    <w:rsid w:val="0CA3622B"/>
    <w:rsid w:val="0CCC6D98"/>
    <w:rsid w:val="0D243879"/>
    <w:rsid w:val="0D466B4A"/>
    <w:rsid w:val="0DA73ACE"/>
    <w:rsid w:val="0DA90E87"/>
    <w:rsid w:val="0DBE2B84"/>
    <w:rsid w:val="0DEE0F90"/>
    <w:rsid w:val="0DF447F8"/>
    <w:rsid w:val="0E53101B"/>
    <w:rsid w:val="0E8536A2"/>
    <w:rsid w:val="0EA16002"/>
    <w:rsid w:val="0EAF4BC3"/>
    <w:rsid w:val="0EBE4E06"/>
    <w:rsid w:val="0EC73CBB"/>
    <w:rsid w:val="0F072309"/>
    <w:rsid w:val="0F302902"/>
    <w:rsid w:val="0F7F00F1"/>
    <w:rsid w:val="0F8C0A60"/>
    <w:rsid w:val="0F8D0B11"/>
    <w:rsid w:val="0FA20284"/>
    <w:rsid w:val="0FB71F81"/>
    <w:rsid w:val="0FDF3286"/>
    <w:rsid w:val="10376C1E"/>
    <w:rsid w:val="103C2486"/>
    <w:rsid w:val="105552F6"/>
    <w:rsid w:val="10B244F7"/>
    <w:rsid w:val="10C5422A"/>
    <w:rsid w:val="10D75D0B"/>
    <w:rsid w:val="10E32902"/>
    <w:rsid w:val="10F60887"/>
    <w:rsid w:val="10F93ED3"/>
    <w:rsid w:val="11036B00"/>
    <w:rsid w:val="11203B56"/>
    <w:rsid w:val="114F7F97"/>
    <w:rsid w:val="115630D4"/>
    <w:rsid w:val="11E46932"/>
    <w:rsid w:val="11FC3C7B"/>
    <w:rsid w:val="12105979"/>
    <w:rsid w:val="122D05F4"/>
    <w:rsid w:val="124B69B1"/>
    <w:rsid w:val="125A6BF4"/>
    <w:rsid w:val="127D77EB"/>
    <w:rsid w:val="12AD3AB9"/>
    <w:rsid w:val="1384217A"/>
    <w:rsid w:val="13EB0135"/>
    <w:rsid w:val="140F7C7A"/>
    <w:rsid w:val="143D057B"/>
    <w:rsid w:val="14891A12"/>
    <w:rsid w:val="155344FA"/>
    <w:rsid w:val="15A24B3A"/>
    <w:rsid w:val="15B36D47"/>
    <w:rsid w:val="15C727F2"/>
    <w:rsid w:val="15D373E9"/>
    <w:rsid w:val="15E10FC5"/>
    <w:rsid w:val="15E24D47"/>
    <w:rsid w:val="161536FB"/>
    <w:rsid w:val="16273291"/>
    <w:rsid w:val="1675224E"/>
    <w:rsid w:val="16BD3D30"/>
    <w:rsid w:val="16F2564D"/>
    <w:rsid w:val="16FE3FF2"/>
    <w:rsid w:val="170535D2"/>
    <w:rsid w:val="17481711"/>
    <w:rsid w:val="17545789"/>
    <w:rsid w:val="1773288D"/>
    <w:rsid w:val="17EF7DDE"/>
    <w:rsid w:val="17FB2C27"/>
    <w:rsid w:val="181F06C4"/>
    <w:rsid w:val="18221F62"/>
    <w:rsid w:val="183C4122"/>
    <w:rsid w:val="18552337"/>
    <w:rsid w:val="18822A00"/>
    <w:rsid w:val="18CE3E98"/>
    <w:rsid w:val="18FF1A08"/>
    <w:rsid w:val="190873AA"/>
    <w:rsid w:val="191775ED"/>
    <w:rsid w:val="195E6FCA"/>
    <w:rsid w:val="19600F94"/>
    <w:rsid w:val="197113F3"/>
    <w:rsid w:val="19715B13"/>
    <w:rsid w:val="198537F3"/>
    <w:rsid w:val="199450E1"/>
    <w:rsid w:val="199926F8"/>
    <w:rsid w:val="1A366198"/>
    <w:rsid w:val="1A660044"/>
    <w:rsid w:val="1A6E5932"/>
    <w:rsid w:val="1A9A2283"/>
    <w:rsid w:val="1A9B5FFB"/>
    <w:rsid w:val="1AB62E35"/>
    <w:rsid w:val="1B2B6971"/>
    <w:rsid w:val="1B3B3B2B"/>
    <w:rsid w:val="1B5E7755"/>
    <w:rsid w:val="1C4500D0"/>
    <w:rsid w:val="1C4E2785"/>
    <w:rsid w:val="1C543666"/>
    <w:rsid w:val="1C6568C1"/>
    <w:rsid w:val="1C6C5EA1"/>
    <w:rsid w:val="1C746B04"/>
    <w:rsid w:val="1CA473E9"/>
    <w:rsid w:val="1CB57848"/>
    <w:rsid w:val="1D4666F2"/>
    <w:rsid w:val="1D6A74B3"/>
    <w:rsid w:val="1DB573D4"/>
    <w:rsid w:val="1E0325F5"/>
    <w:rsid w:val="1E7102EB"/>
    <w:rsid w:val="1EA01E32"/>
    <w:rsid w:val="1EBA1146"/>
    <w:rsid w:val="1ED61CF8"/>
    <w:rsid w:val="1EFD7D4D"/>
    <w:rsid w:val="1F374545"/>
    <w:rsid w:val="1F3D49D6"/>
    <w:rsid w:val="1F600B40"/>
    <w:rsid w:val="1F6410B2"/>
    <w:rsid w:val="1F645556"/>
    <w:rsid w:val="1F7C63FB"/>
    <w:rsid w:val="1FC87893"/>
    <w:rsid w:val="1FD43192"/>
    <w:rsid w:val="20AF45AF"/>
    <w:rsid w:val="20E93F65"/>
    <w:rsid w:val="213B4094"/>
    <w:rsid w:val="2188552B"/>
    <w:rsid w:val="21E07116"/>
    <w:rsid w:val="22176285"/>
    <w:rsid w:val="223C1E72"/>
    <w:rsid w:val="22405E06"/>
    <w:rsid w:val="228C4BA7"/>
    <w:rsid w:val="22C04851"/>
    <w:rsid w:val="22C73E32"/>
    <w:rsid w:val="22DD3655"/>
    <w:rsid w:val="22E70030"/>
    <w:rsid w:val="231921B3"/>
    <w:rsid w:val="2378337E"/>
    <w:rsid w:val="23867849"/>
    <w:rsid w:val="23B05B3A"/>
    <w:rsid w:val="23CE11F0"/>
    <w:rsid w:val="23EB2DE2"/>
    <w:rsid w:val="240F7414"/>
    <w:rsid w:val="242F2EAF"/>
    <w:rsid w:val="244D480A"/>
    <w:rsid w:val="24863878"/>
    <w:rsid w:val="255F2A47"/>
    <w:rsid w:val="25FA451E"/>
    <w:rsid w:val="25FC794E"/>
    <w:rsid w:val="26147F1F"/>
    <w:rsid w:val="261F3F85"/>
    <w:rsid w:val="262B0B7B"/>
    <w:rsid w:val="263A05A8"/>
    <w:rsid w:val="2650486E"/>
    <w:rsid w:val="269009DE"/>
    <w:rsid w:val="269B1BED"/>
    <w:rsid w:val="26D052E6"/>
    <w:rsid w:val="26F176CF"/>
    <w:rsid w:val="26F45411"/>
    <w:rsid w:val="270F0C58"/>
    <w:rsid w:val="2714160F"/>
    <w:rsid w:val="273D2914"/>
    <w:rsid w:val="27532138"/>
    <w:rsid w:val="275F0ADD"/>
    <w:rsid w:val="27806CA5"/>
    <w:rsid w:val="278E4F1E"/>
    <w:rsid w:val="27D45DC8"/>
    <w:rsid w:val="27F356C9"/>
    <w:rsid w:val="284952E9"/>
    <w:rsid w:val="2858552C"/>
    <w:rsid w:val="285A097E"/>
    <w:rsid w:val="28887BBF"/>
    <w:rsid w:val="28C278FA"/>
    <w:rsid w:val="28F81E0B"/>
    <w:rsid w:val="291E49C7"/>
    <w:rsid w:val="29241CBE"/>
    <w:rsid w:val="2940493E"/>
    <w:rsid w:val="2964687E"/>
    <w:rsid w:val="29826D04"/>
    <w:rsid w:val="298E62BC"/>
    <w:rsid w:val="29B544C6"/>
    <w:rsid w:val="29B9024C"/>
    <w:rsid w:val="2A1071DE"/>
    <w:rsid w:val="2A244AE7"/>
    <w:rsid w:val="2A3F0751"/>
    <w:rsid w:val="2A5D507B"/>
    <w:rsid w:val="2A830320"/>
    <w:rsid w:val="2AA8279A"/>
    <w:rsid w:val="2ADA66CC"/>
    <w:rsid w:val="2B381D70"/>
    <w:rsid w:val="2B91322F"/>
    <w:rsid w:val="2BA70CA4"/>
    <w:rsid w:val="2BDA2E28"/>
    <w:rsid w:val="2BF0264B"/>
    <w:rsid w:val="2BFB4B4C"/>
    <w:rsid w:val="2C080E30"/>
    <w:rsid w:val="2C091759"/>
    <w:rsid w:val="2C136339"/>
    <w:rsid w:val="2C167BD8"/>
    <w:rsid w:val="2C730B86"/>
    <w:rsid w:val="2C884632"/>
    <w:rsid w:val="2C932FD6"/>
    <w:rsid w:val="2CA3146B"/>
    <w:rsid w:val="2CA84CD4"/>
    <w:rsid w:val="2CC87124"/>
    <w:rsid w:val="2CDB17CE"/>
    <w:rsid w:val="2CF3320B"/>
    <w:rsid w:val="2D8C0151"/>
    <w:rsid w:val="2DB9081B"/>
    <w:rsid w:val="2DD6761F"/>
    <w:rsid w:val="2E334A71"/>
    <w:rsid w:val="2E385BE3"/>
    <w:rsid w:val="2E69365B"/>
    <w:rsid w:val="2E701821"/>
    <w:rsid w:val="2E7F3812"/>
    <w:rsid w:val="2E9279E9"/>
    <w:rsid w:val="2EB0373B"/>
    <w:rsid w:val="2EEA15D4"/>
    <w:rsid w:val="2EED6B64"/>
    <w:rsid w:val="2F633134"/>
    <w:rsid w:val="2F7A1B16"/>
    <w:rsid w:val="2F8337D6"/>
    <w:rsid w:val="2FD656B4"/>
    <w:rsid w:val="3014442E"/>
    <w:rsid w:val="30395C43"/>
    <w:rsid w:val="303D3985"/>
    <w:rsid w:val="3046421F"/>
    <w:rsid w:val="307D4A19"/>
    <w:rsid w:val="309D4424"/>
    <w:rsid w:val="30A532D8"/>
    <w:rsid w:val="30EA7E6D"/>
    <w:rsid w:val="30EE04D3"/>
    <w:rsid w:val="30FB7E23"/>
    <w:rsid w:val="31061FC9"/>
    <w:rsid w:val="316136A3"/>
    <w:rsid w:val="318C2E98"/>
    <w:rsid w:val="31A517E2"/>
    <w:rsid w:val="31B9528D"/>
    <w:rsid w:val="31C12394"/>
    <w:rsid w:val="31D370C3"/>
    <w:rsid w:val="31F42769"/>
    <w:rsid w:val="32024E86"/>
    <w:rsid w:val="32304E86"/>
    <w:rsid w:val="3253123E"/>
    <w:rsid w:val="32576468"/>
    <w:rsid w:val="32764F2C"/>
    <w:rsid w:val="329D695D"/>
    <w:rsid w:val="32C41FD4"/>
    <w:rsid w:val="32DA370D"/>
    <w:rsid w:val="32EA0C76"/>
    <w:rsid w:val="332E5807"/>
    <w:rsid w:val="3341553A"/>
    <w:rsid w:val="33C57F19"/>
    <w:rsid w:val="34310E1A"/>
    <w:rsid w:val="34767465"/>
    <w:rsid w:val="34871673"/>
    <w:rsid w:val="34936269"/>
    <w:rsid w:val="34A044E2"/>
    <w:rsid w:val="354B6B44"/>
    <w:rsid w:val="35544573"/>
    <w:rsid w:val="356D6ABA"/>
    <w:rsid w:val="358B4BAC"/>
    <w:rsid w:val="358C2F4E"/>
    <w:rsid w:val="363D5497"/>
    <w:rsid w:val="3667350A"/>
    <w:rsid w:val="366854D4"/>
    <w:rsid w:val="369D2A0A"/>
    <w:rsid w:val="36B44275"/>
    <w:rsid w:val="36B6623F"/>
    <w:rsid w:val="36EE59D9"/>
    <w:rsid w:val="376B6451"/>
    <w:rsid w:val="37BA1D5F"/>
    <w:rsid w:val="380B25BB"/>
    <w:rsid w:val="38123949"/>
    <w:rsid w:val="381B27FE"/>
    <w:rsid w:val="382C4A0B"/>
    <w:rsid w:val="38A345A1"/>
    <w:rsid w:val="38BA04B9"/>
    <w:rsid w:val="38C42E95"/>
    <w:rsid w:val="38D83970"/>
    <w:rsid w:val="38E54BBA"/>
    <w:rsid w:val="38FA68B7"/>
    <w:rsid w:val="3A2B484E"/>
    <w:rsid w:val="3A573895"/>
    <w:rsid w:val="3A8D72B7"/>
    <w:rsid w:val="3A993EAE"/>
    <w:rsid w:val="3AA44AFC"/>
    <w:rsid w:val="3AD363B4"/>
    <w:rsid w:val="3ADD023E"/>
    <w:rsid w:val="3AE315CD"/>
    <w:rsid w:val="3B3E7EDA"/>
    <w:rsid w:val="3BAE70CC"/>
    <w:rsid w:val="3BC907C3"/>
    <w:rsid w:val="3BE97F2D"/>
    <w:rsid w:val="3BEC70D0"/>
    <w:rsid w:val="3C2854E9"/>
    <w:rsid w:val="3C435CB9"/>
    <w:rsid w:val="3C7B7D0F"/>
    <w:rsid w:val="3C822B45"/>
    <w:rsid w:val="3CB72D11"/>
    <w:rsid w:val="3CC03974"/>
    <w:rsid w:val="3CD0743A"/>
    <w:rsid w:val="3CD967E3"/>
    <w:rsid w:val="3CE60F00"/>
    <w:rsid w:val="3D0D2931"/>
    <w:rsid w:val="3D1617E6"/>
    <w:rsid w:val="3D2E3538"/>
    <w:rsid w:val="3D5D5666"/>
    <w:rsid w:val="3D7D3613"/>
    <w:rsid w:val="3DB1150E"/>
    <w:rsid w:val="3DC01751"/>
    <w:rsid w:val="3DCC00F6"/>
    <w:rsid w:val="3DDC47DD"/>
    <w:rsid w:val="3E135D25"/>
    <w:rsid w:val="3E895A00"/>
    <w:rsid w:val="3E94330A"/>
    <w:rsid w:val="3E9A1FA2"/>
    <w:rsid w:val="3EA70539"/>
    <w:rsid w:val="3EC00850"/>
    <w:rsid w:val="3EDE4585"/>
    <w:rsid w:val="3F762A0F"/>
    <w:rsid w:val="3FFA0F4B"/>
    <w:rsid w:val="3FFD0A3B"/>
    <w:rsid w:val="400C0C7E"/>
    <w:rsid w:val="400C183F"/>
    <w:rsid w:val="401263FE"/>
    <w:rsid w:val="4033445D"/>
    <w:rsid w:val="40561685"/>
    <w:rsid w:val="40582115"/>
    <w:rsid w:val="40726126"/>
    <w:rsid w:val="40776A3F"/>
    <w:rsid w:val="407C4056"/>
    <w:rsid w:val="40827C4B"/>
    <w:rsid w:val="409018AF"/>
    <w:rsid w:val="4090365D"/>
    <w:rsid w:val="40E61E1C"/>
    <w:rsid w:val="41792343"/>
    <w:rsid w:val="419D4283"/>
    <w:rsid w:val="4226071D"/>
    <w:rsid w:val="426D00FA"/>
    <w:rsid w:val="42975177"/>
    <w:rsid w:val="42B86E9B"/>
    <w:rsid w:val="42BF718B"/>
    <w:rsid w:val="42C27D1A"/>
    <w:rsid w:val="42C65A5C"/>
    <w:rsid w:val="433B01F8"/>
    <w:rsid w:val="43996CCD"/>
    <w:rsid w:val="43B2269A"/>
    <w:rsid w:val="44022AC4"/>
    <w:rsid w:val="440525B4"/>
    <w:rsid w:val="44242A3A"/>
    <w:rsid w:val="44283D01"/>
    <w:rsid w:val="444A7FC7"/>
    <w:rsid w:val="445B167F"/>
    <w:rsid w:val="44CD4E80"/>
    <w:rsid w:val="44D206E8"/>
    <w:rsid w:val="45093003"/>
    <w:rsid w:val="451A5BEB"/>
    <w:rsid w:val="456F23DB"/>
    <w:rsid w:val="46470C62"/>
    <w:rsid w:val="465C3F96"/>
    <w:rsid w:val="46782E4E"/>
    <w:rsid w:val="4678706D"/>
    <w:rsid w:val="4723347D"/>
    <w:rsid w:val="4728564C"/>
    <w:rsid w:val="472E597E"/>
    <w:rsid w:val="479A4966"/>
    <w:rsid w:val="47A65E5C"/>
    <w:rsid w:val="47D06A35"/>
    <w:rsid w:val="47DE1152"/>
    <w:rsid w:val="48027536"/>
    <w:rsid w:val="48C04CFB"/>
    <w:rsid w:val="48EC5AF0"/>
    <w:rsid w:val="48FD5F50"/>
    <w:rsid w:val="49957F36"/>
    <w:rsid w:val="49A85EBB"/>
    <w:rsid w:val="49AB1508"/>
    <w:rsid w:val="49E35145"/>
    <w:rsid w:val="49EE0FBF"/>
    <w:rsid w:val="4A190B67"/>
    <w:rsid w:val="4A6F0787"/>
    <w:rsid w:val="4AB10E02"/>
    <w:rsid w:val="4AC00FE3"/>
    <w:rsid w:val="4B0B04B0"/>
    <w:rsid w:val="4B103D18"/>
    <w:rsid w:val="4B1530DD"/>
    <w:rsid w:val="4B1A6945"/>
    <w:rsid w:val="4B3D2633"/>
    <w:rsid w:val="4B4B11F4"/>
    <w:rsid w:val="4B5D6832"/>
    <w:rsid w:val="4B906C07"/>
    <w:rsid w:val="4BB903E1"/>
    <w:rsid w:val="4BF74ED8"/>
    <w:rsid w:val="4C453E95"/>
    <w:rsid w:val="4C551F7F"/>
    <w:rsid w:val="4C663160"/>
    <w:rsid w:val="4CD82614"/>
    <w:rsid w:val="4D37547A"/>
    <w:rsid w:val="4D5E35AF"/>
    <w:rsid w:val="4D706CF0"/>
    <w:rsid w:val="4D761E2D"/>
    <w:rsid w:val="4D7A36CB"/>
    <w:rsid w:val="4D8C1650"/>
    <w:rsid w:val="4DFC3F15"/>
    <w:rsid w:val="4DFD2C87"/>
    <w:rsid w:val="4E577EB0"/>
    <w:rsid w:val="4E6525CD"/>
    <w:rsid w:val="4E6B74B7"/>
    <w:rsid w:val="4E6C395B"/>
    <w:rsid w:val="4ED232B7"/>
    <w:rsid w:val="4F0F22BC"/>
    <w:rsid w:val="4F147B4F"/>
    <w:rsid w:val="4F2613CC"/>
    <w:rsid w:val="4F5D5052"/>
    <w:rsid w:val="4F7F76BE"/>
    <w:rsid w:val="4FB1539E"/>
    <w:rsid w:val="4FBA06F6"/>
    <w:rsid w:val="4FC11A85"/>
    <w:rsid w:val="4FE6773D"/>
    <w:rsid w:val="501871CB"/>
    <w:rsid w:val="50446212"/>
    <w:rsid w:val="50504BB7"/>
    <w:rsid w:val="509727E6"/>
    <w:rsid w:val="50C335DB"/>
    <w:rsid w:val="50D05D72"/>
    <w:rsid w:val="51014A58"/>
    <w:rsid w:val="51071719"/>
    <w:rsid w:val="5144471C"/>
    <w:rsid w:val="51505F79"/>
    <w:rsid w:val="515E50B1"/>
    <w:rsid w:val="519D5BDA"/>
    <w:rsid w:val="51A90A23"/>
    <w:rsid w:val="51AF590D"/>
    <w:rsid w:val="51B57EC9"/>
    <w:rsid w:val="51C969CF"/>
    <w:rsid w:val="51FC6DA4"/>
    <w:rsid w:val="51FF0643"/>
    <w:rsid w:val="520143BB"/>
    <w:rsid w:val="522105B9"/>
    <w:rsid w:val="52276695"/>
    <w:rsid w:val="52A86F2C"/>
    <w:rsid w:val="52D7336D"/>
    <w:rsid w:val="53000B16"/>
    <w:rsid w:val="533A5A02"/>
    <w:rsid w:val="534A497F"/>
    <w:rsid w:val="53C71634"/>
    <w:rsid w:val="53E25DAE"/>
    <w:rsid w:val="541303D5"/>
    <w:rsid w:val="54176117"/>
    <w:rsid w:val="542F44D9"/>
    <w:rsid w:val="544669FD"/>
    <w:rsid w:val="54662A63"/>
    <w:rsid w:val="54A35BFD"/>
    <w:rsid w:val="55364B38"/>
    <w:rsid w:val="55456CB4"/>
    <w:rsid w:val="55517407"/>
    <w:rsid w:val="559D1048"/>
    <w:rsid w:val="55A6689C"/>
    <w:rsid w:val="55AC288F"/>
    <w:rsid w:val="55BF6A67"/>
    <w:rsid w:val="55C24E3B"/>
    <w:rsid w:val="560721BC"/>
    <w:rsid w:val="563A60ED"/>
    <w:rsid w:val="568944D0"/>
    <w:rsid w:val="56A354CD"/>
    <w:rsid w:val="56C97471"/>
    <w:rsid w:val="56D71B8E"/>
    <w:rsid w:val="56D77DE0"/>
    <w:rsid w:val="571C0482"/>
    <w:rsid w:val="574134AB"/>
    <w:rsid w:val="5767790F"/>
    <w:rsid w:val="578C2978"/>
    <w:rsid w:val="57CC546B"/>
    <w:rsid w:val="57D52571"/>
    <w:rsid w:val="57D91936"/>
    <w:rsid w:val="57E74053"/>
    <w:rsid w:val="57E91B79"/>
    <w:rsid w:val="57EB02E7"/>
    <w:rsid w:val="57F64453"/>
    <w:rsid w:val="58226E39"/>
    <w:rsid w:val="585C67EF"/>
    <w:rsid w:val="586438F5"/>
    <w:rsid w:val="58767185"/>
    <w:rsid w:val="58BC2ECC"/>
    <w:rsid w:val="58C46142"/>
    <w:rsid w:val="59372DB8"/>
    <w:rsid w:val="59A85A64"/>
    <w:rsid w:val="59AB49DD"/>
    <w:rsid w:val="59DD74BB"/>
    <w:rsid w:val="5A096502"/>
    <w:rsid w:val="5A274BDA"/>
    <w:rsid w:val="5A515731"/>
    <w:rsid w:val="5A7A1685"/>
    <w:rsid w:val="5A865DA5"/>
    <w:rsid w:val="5AA004E9"/>
    <w:rsid w:val="5AA91A93"/>
    <w:rsid w:val="5B0373F5"/>
    <w:rsid w:val="5B3D5A37"/>
    <w:rsid w:val="5B503CBD"/>
    <w:rsid w:val="5B653C0C"/>
    <w:rsid w:val="5B694D7F"/>
    <w:rsid w:val="5B7A20FF"/>
    <w:rsid w:val="5B9E711E"/>
    <w:rsid w:val="5BA67D81"/>
    <w:rsid w:val="5BFD3C70"/>
    <w:rsid w:val="5C11169E"/>
    <w:rsid w:val="5C8E7193"/>
    <w:rsid w:val="5CCC1228"/>
    <w:rsid w:val="5CCF6DD1"/>
    <w:rsid w:val="5CE172C2"/>
    <w:rsid w:val="5CEE5E83"/>
    <w:rsid w:val="5D07484F"/>
    <w:rsid w:val="5D5201C0"/>
    <w:rsid w:val="5D9914F5"/>
    <w:rsid w:val="5DB1138B"/>
    <w:rsid w:val="5DB20C5F"/>
    <w:rsid w:val="5DB26EB1"/>
    <w:rsid w:val="5DD961EC"/>
    <w:rsid w:val="5DF179D9"/>
    <w:rsid w:val="5E23390B"/>
    <w:rsid w:val="5E361890"/>
    <w:rsid w:val="5E5C7C47"/>
    <w:rsid w:val="5E96232F"/>
    <w:rsid w:val="5EF45FCD"/>
    <w:rsid w:val="5F0B0627"/>
    <w:rsid w:val="5F2B0CC9"/>
    <w:rsid w:val="5F93061C"/>
    <w:rsid w:val="5FC8476A"/>
    <w:rsid w:val="5FCA04E2"/>
    <w:rsid w:val="600825FB"/>
    <w:rsid w:val="603B0CED"/>
    <w:rsid w:val="604364E6"/>
    <w:rsid w:val="6051475F"/>
    <w:rsid w:val="60575AEE"/>
    <w:rsid w:val="60786190"/>
    <w:rsid w:val="60A61B02"/>
    <w:rsid w:val="60C56EFB"/>
    <w:rsid w:val="61137C66"/>
    <w:rsid w:val="6126799A"/>
    <w:rsid w:val="61601578"/>
    <w:rsid w:val="617A78E0"/>
    <w:rsid w:val="618D79EB"/>
    <w:rsid w:val="620D2908"/>
    <w:rsid w:val="62181AD6"/>
    <w:rsid w:val="622F23BA"/>
    <w:rsid w:val="622F6D22"/>
    <w:rsid w:val="6239194F"/>
    <w:rsid w:val="62402CDD"/>
    <w:rsid w:val="626010F1"/>
    <w:rsid w:val="626562A0"/>
    <w:rsid w:val="62A56FE4"/>
    <w:rsid w:val="62AA63A9"/>
    <w:rsid w:val="62E47B0C"/>
    <w:rsid w:val="62FD0BCE"/>
    <w:rsid w:val="635A1B7D"/>
    <w:rsid w:val="639E415F"/>
    <w:rsid w:val="63CA286B"/>
    <w:rsid w:val="63FA6EBC"/>
    <w:rsid w:val="6416019A"/>
    <w:rsid w:val="64470E3A"/>
    <w:rsid w:val="64740A1C"/>
    <w:rsid w:val="647C2AD8"/>
    <w:rsid w:val="64882719"/>
    <w:rsid w:val="655904ED"/>
    <w:rsid w:val="65BA4B55"/>
    <w:rsid w:val="65BD63F3"/>
    <w:rsid w:val="65BF03BD"/>
    <w:rsid w:val="65C54371"/>
    <w:rsid w:val="65D73958"/>
    <w:rsid w:val="65F77B57"/>
    <w:rsid w:val="661A3280"/>
    <w:rsid w:val="66486604"/>
    <w:rsid w:val="668D2269"/>
    <w:rsid w:val="669E4476"/>
    <w:rsid w:val="66D95D82"/>
    <w:rsid w:val="66E50537"/>
    <w:rsid w:val="671D35ED"/>
    <w:rsid w:val="672C2787"/>
    <w:rsid w:val="6760797E"/>
    <w:rsid w:val="6779459B"/>
    <w:rsid w:val="679413D5"/>
    <w:rsid w:val="67982C74"/>
    <w:rsid w:val="67D16185"/>
    <w:rsid w:val="67D55C76"/>
    <w:rsid w:val="682403BB"/>
    <w:rsid w:val="685A261F"/>
    <w:rsid w:val="68802085"/>
    <w:rsid w:val="689E075E"/>
    <w:rsid w:val="689F6284"/>
    <w:rsid w:val="68B47F81"/>
    <w:rsid w:val="68FD7449"/>
    <w:rsid w:val="691C51AA"/>
    <w:rsid w:val="692D388F"/>
    <w:rsid w:val="6949691B"/>
    <w:rsid w:val="69562DE6"/>
    <w:rsid w:val="695E1C9B"/>
    <w:rsid w:val="696A4AE4"/>
    <w:rsid w:val="6985191D"/>
    <w:rsid w:val="69961435"/>
    <w:rsid w:val="69B61AD7"/>
    <w:rsid w:val="69D10BD4"/>
    <w:rsid w:val="6A260A0B"/>
    <w:rsid w:val="6A681023"/>
    <w:rsid w:val="6A760B01"/>
    <w:rsid w:val="6A90712C"/>
    <w:rsid w:val="6AC9375A"/>
    <w:rsid w:val="6AEB755E"/>
    <w:rsid w:val="6B317667"/>
    <w:rsid w:val="6B460C38"/>
    <w:rsid w:val="6B5F5D4F"/>
    <w:rsid w:val="6B691D86"/>
    <w:rsid w:val="6B715CB5"/>
    <w:rsid w:val="6BB43DF4"/>
    <w:rsid w:val="6C0134DD"/>
    <w:rsid w:val="6C20148A"/>
    <w:rsid w:val="6C3C2767"/>
    <w:rsid w:val="6C400DED"/>
    <w:rsid w:val="6C4E4249"/>
    <w:rsid w:val="6C7C0DB6"/>
    <w:rsid w:val="6CB71DEE"/>
    <w:rsid w:val="6CBC4E31"/>
    <w:rsid w:val="6CD477F0"/>
    <w:rsid w:val="6CD52274"/>
    <w:rsid w:val="6D434CC7"/>
    <w:rsid w:val="6E31797E"/>
    <w:rsid w:val="6E4E51DE"/>
    <w:rsid w:val="6E5B2C4D"/>
    <w:rsid w:val="6E5D4C17"/>
    <w:rsid w:val="6E930639"/>
    <w:rsid w:val="6EBE45F5"/>
    <w:rsid w:val="6EC9405A"/>
    <w:rsid w:val="6F3040D9"/>
    <w:rsid w:val="6F4631C8"/>
    <w:rsid w:val="6F6D2F12"/>
    <w:rsid w:val="6F736528"/>
    <w:rsid w:val="6FAA79E8"/>
    <w:rsid w:val="6FC00FB9"/>
    <w:rsid w:val="6FD74555"/>
    <w:rsid w:val="6FE56C72"/>
    <w:rsid w:val="6FF9305E"/>
    <w:rsid w:val="700341CA"/>
    <w:rsid w:val="7008338E"/>
    <w:rsid w:val="707149AA"/>
    <w:rsid w:val="70891CF3"/>
    <w:rsid w:val="70A80E9C"/>
    <w:rsid w:val="70BD199D"/>
    <w:rsid w:val="712B4B58"/>
    <w:rsid w:val="71493231"/>
    <w:rsid w:val="71A62431"/>
    <w:rsid w:val="71D84CE0"/>
    <w:rsid w:val="727644F9"/>
    <w:rsid w:val="72D51220"/>
    <w:rsid w:val="72DB7B34"/>
    <w:rsid w:val="72F4537E"/>
    <w:rsid w:val="7329331A"/>
    <w:rsid w:val="733544C3"/>
    <w:rsid w:val="73682094"/>
    <w:rsid w:val="73A6496A"/>
    <w:rsid w:val="73D142C6"/>
    <w:rsid w:val="73DE5EB2"/>
    <w:rsid w:val="73EF1E6D"/>
    <w:rsid w:val="7419513C"/>
    <w:rsid w:val="7420296E"/>
    <w:rsid w:val="74927C73"/>
    <w:rsid w:val="74A72748"/>
    <w:rsid w:val="74F57463"/>
    <w:rsid w:val="752C0E9F"/>
    <w:rsid w:val="7535244A"/>
    <w:rsid w:val="75504B8E"/>
    <w:rsid w:val="757C7B81"/>
    <w:rsid w:val="759233F8"/>
    <w:rsid w:val="75E1612D"/>
    <w:rsid w:val="75ED062E"/>
    <w:rsid w:val="75F95225"/>
    <w:rsid w:val="76167330"/>
    <w:rsid w:val="767D5E56"/>
    <w:rsid w:val="76B178AE"/>
    <w:rsid w:val="77185B7F"/>
    <w:rsid w:val="773F2FF6"/>
    <w:rsid w:val="77CD4BBB"/>
    <w:rsid w:val="77F6748E"/>
    <w:rsid w:val="781F6A99"/>
    <w:rsid w:val="78680440"/>
    <w:rsid w:val="78801C2E"/>
    <w:rsid w:val="78F41CD4"/>
    <w:rsid w:val="78FB2060"/>
    <w:rsid w:val="790939D1"/>
    <w:rsid w:val="790A0DE6"/>
    <w:rsid w:val="792720A9"/>
    <w:rsid w:val="794964C4"/>
    <w:rsid w:val="79695DE7"/>
    <w:rsid w:val="79915775"/>
    <w:rsid w:val="79AB7FAD"/>
    <w:rsid w:val="79C45B4A"/>
    <w:rsid w:val="7AA01628"/>
    <w:rsid w:val="7AC51B7A"/>
    <w:rsid w:val="7AD07482"/>
    <w:rsid w:val="7B072192"/>
    <w:rsid w:val="7B292109"/>
    <w:rsid w:val="7B4552A2"/>
    <w:rsid w:val="7B66335D"/>
    <w:rsid w:val="7B666A92"/>
    <w:rsid w:val="7B762E74"/>
    <w:rsid w:val="7B933A26"/>
    <w:rsid w:val="7B9A1258"/>
    <w:rsid w:val="7B9D48A5"/>
    <w:rsid w:val="7C413482"/>
    <w:rsid w:val="7C605FFE"/>
    <w:rsid w:val="7C6158D2"/>
    <w:rsid w:val="7C796FD5"/>
    <w:rsid w:val="7C905210"/>
    <w:rsid w:val="7CCD375E"/>
    <w:rsid w:val="7D126BCC"/>
    <w:rsid w:val="7DA43245"/>
    <w:rsid w:val="7DB15308"/>
    <w:rsid w:val="7E1F5A45"/>
    <w:rsid w:val="7E1F77F3"/>
    <w:rsid w:val="7E484F9C"/>
    <w:rsid w:val="7E6D4A02"/>
    <w:rsid w:val="7EE3612B"/>
    <w:rsid w:val="7EEE45CE"/>
    <w:rsid w:val="7EEF3669"/>
    <w:rsid w:val="7EFC7B34"/>
    <w:rsid w:val="7F3E1EFB"/>
    <w:rsid w:val="7F740851"/>
    <w:rsid w:val="7FB93842"/>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style>
  <w:style w:type="paragraph" w:styleId="4">
    <w:name w:val="Body Text Indent"/>
    <w:basedOn w:val="1"/>
    <w:autoRedefine/>
    <w:unhideWhenUsed/>
    <w:qFormat/>
    <w:uiPriority w:val="0"/>
    <w:pPr>
      <w:topLinePunct/>
      <w:ind w:firstLine="560" w:firstLineChars="200"/>
    </w:pPr>
    <w:rPr>
      <w:rFonts w:eastAsia="仿宋_GB2312"/>
      <w:sz w:val="28"/>
      <w:szCs w:val="20"/>
    </w:rPr>
  </w:style>
  <w:style w:type="paragraph" w:styleId="5">
    <w:name w:val="toc 3"/>
    <w:basedOn w:val="1"/>
    <w:next w:val="1"/>
    <w:autoRedefine/>
    <w:qFormat/>
    <w:uiPriority w:val="0"/>
    <w:pPr>
      <w:ind w:left="840" w:leftChars="400"/>
    </w:pPr>
  </w:style>
  <w:style w:type="paragraph" w:styleId="6">
    <w:name w:val="Balloon Text"/>
    <w:basedOn w:val="1"/>
    <w:link w:val="18"/>
    <w:autoRedefine/>
    <w:qFormat/>
    <w:uiPriority w:val="0"/>
    <w:rPr>
      <w:rFonts w:ascii="宋体" w:eastAsia="宋体"/>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unhideWhenUsed/>
    <w:qFormat/>
    <w:uiPriority w:val="39"/>
    <w:pPr>
      <w:widowControl/>
      <w:spacing w:after="100" w:line="259" w:lineRule="auto"/>
      <w:jc w:val="left"/>
    </w:pPr>
    <w:rPr>
      <w:rFonts w:cs="Times New Roman"/>
      <w:kern w:val="0"/>
      <w:sz w:val="22"/>
    </w:rPr>
  </w:style>
  <w:style w:type="paragraph" w:styleId="10">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1">
    <w:name w:val="annotation subject"/>
    <w:basedOn w:val="3"/>
    <w:next w:val="3"/>
    <w:link w:val="20"/>
    <w:autoRedefine/>
    <w:qFormat/>
    <w:uiPriority w:val="0"/>
    <w:rPr>
      <w:b/>
      <w:bCs/>
    </w:rPr>
  </w:style>
  <w:style w:type="character" w:styleId="14">
    <w:name w:val="Emphasis"/>
    <w:basedOn w:val="13"/>
    <w:autoRedefine/>
    <w:qFormat/>
    <w:uiPriority w:val="0"/>
    <w:rPr>
      <w:i/>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styleId="16">
    <w:name w:val="annotation reference"/>
    <w:basedOn w:val="13"/>
    <w:autoRedefine/>
    <w:qFormat/>
    <w:uiPriority w:val="0"/>
    <w:rPr>
      <w:sz w:val="21"/>
      <w:szCs w:val="21"/>
    </w:rPr>
  </w:style>
  <w:style w:type="paragraph" w:styleId="17">
    <w:name w:val="List Paragraph"/>
    <w:basedOn w:val="1"/>
    <w:autoRedefine/>
    <w:qFormat/>
    <w:uiPriority w:val="34"/>
    <w:pPr>
      <w:ind w:firstLine="420" w:firstLineChars="200"/>
    </w:pPr>
    <w:rPr>
      <w:rFonts w:ascii="Calibri" w:hAnsi="Calibri" w:eastAsia="宋体" w:cs="Times New Roman"/>
      <w:szCs w:val="24"/>
    </w:rPr>
  </w:style>
  <w:style w:type="character" w:customStyle="1" w:styleId="18">
    <w:name w:val="批注框文本 Char"/>
    <w:basedOn w:val="13"/>
    <w:link w:val="6"/>
    <w:autoRedefine/>
    <w:qFormat/>
    <w:uiPriority w:val="0"/>
    <w:rPr>
      <w:rFonts w:ascii="宋体" w:hAnsiTheme="minorHAnsi" w:cstheme="minorBidi"/>
      <w:kern w:val="2"/>
      <w:sz w:val="18"/>
      <w:szCs w:val="18"/>
    </w:rPr>
  </w:style>
  <w:style w:type="character" w:customStyle="1" w:styleId="19">
    <w:name w:val="批注文字 Char"/>
    <w:basedOn w:val="13"/>
    <w:link w:val="3"/>
    <w:autoRedefine/>
    <w:qFormat/>
    <w:uiPriority w:val="0"/>
    <w:rPr>
      <w:rFonts w:asciiTheme="minorHAnsi" w:hAnsiTheme="minorHAnsi" w:eastAsiaTheme="minorEastAsia" w:cstheme="minorBidi"/>
      <w:kern w:val="2"/>
      <w:sz w:val="21"/>
      <w:szCs w:val="22"/>
    </w:rPr>
  </w:style>
  <w:style w:type="character" w:customStyle="1" w:styleId="20">
    <w:name w:val="批注主题 Char"/>
    <w:basedOn w:val="19"/>
    <w:link w:val="11"/>
    <w:autoRedefine/>
    <w:qFormat/>
    <w:uiPriority w:val="0"/>
    <w:rPr>
      <w:rFonts w:asciiTheme="minorHAnsi" w:hAnsiTheme="minorHAnsi" w:eastAsiaTheme="minorEastAsia" w:cstheme="minorBidi"/>
      <w:b/>
      <w:bCs/>
      <w:kern w:val="2"/>
      <w:sz w:val="21"/>
      <w:szCs w:val="22"/>
    </w:rPr>
  </w:style>
  <w:style w:type="paragraph" w:customStyle="1" w:styleId="21">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11078</Words>
  <Characters>12520</Characters>
  <Lines>43</Lines>
  <Paragraphs>32</Paragraphs>
  <TotalTime>254</TotalTime>
  <ScaleCrop>false</ScaleCrop>
  <LinksUpToDate>false</LinksUpToDate>
  <CharactersWithSpaces>12759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2023-03-01T07:36:00Z</dcterms:created>
  <dc:creator>Shirley</dc:creator>
  <cp:lastModifiedBy>刘娜</cp:lastModifiedBy>
  <cp:lastPrinted>2024-01-12T02:03:00Z</cp:lastPrinted>
  <dcterms:modified xsi:type="dcterms:W3CDTF">2024-01-15T08:50:46Z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2457A3B1B4E8406DA2C5E1A9F3CA6D2B_13</vt:lpwstr>
  </property>
</Properties>
</file>